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6D6" w:rsidRPr="004E26D6" w:rsidRDefault="004E26D6" w:rsidP="004E26D6">
      <w:pPr>
        <w:widowControl/>
        <w:shd w:val="clear" w:color="auto" w:fill="FFFFFF"/>
        <w:spacing w:line="630" w:lineRule="atLeast"/>
        <w:jc w:val="center"/>
        <w:rPr>
          <w:rFonts w:ascii="微软雅黑" w:eastAsia="微软雅黑" w:hAnsi="微软雅黑" w:cs="宋体"/>
          <w:b/>
          <w:bCs/>
          <w:color w:val="333333"/>
          <w:kern w:val="0"/>
          <w:sz w:val="41"/>
          <w:szCs w:val="41"/>
        </w:rPr>
      </w:pPr>
      <w:r w:rsidRPr="004E26D6">
        <w:rPr>
          <w:rFonts w:ascii="微软雅黑" w:eastAsia="微软雅黑" w:hAnsi="微软雅黑" w:cs="宋体" w:hint="eastAsia"/>
          <w:b/>
          <w:bCs/>
          <w:color w:val="333333"/>
          <w:kern w:val="0"/>
          <w:sz w:val="41"/>
          <w:szCs w:val="41"/>
        </w:rPr>
        <w:t>六安市人民政府关于加快建设战略性新兴产业集聚发展基地的意见（有效）</w:t>
      </w:r>
    </w:p>
    <w:p w:rsidR="004E26D6" w:rsidRPr="004E26D6" w:rsidRDefault="004E26D6" w:rsidP="004E26D6">
      <w:pPr>
        <w:widowControl/>
        <w:shd w:val="clear" w:color="auto" w:fill="FFFFFF"/>
        <w:spacing w:line="420" w:lineRule="atLeast"/>
        <w:jc w:val="left"/>
        <w:rPr>
          <w:rFonts w:ascii="微软雅黑" w:eastAsia="微软雅黑" w:hAnsi="微软雅黑" w:cs="宋体" w:hint="eastAsia"/>
          <w:color w:val="333333"/>
          <w:kern w:val="0"/>
          <w:szCs w:val="21"/>
        </w:rPr>
      </w:pPr>
      <w:r w:rsidRPr="004E26D6">
        <w:rPr>
          <w:rFonts w:ascii="微软雅黑" w:eastAsia="微软雅黑" w:hAnsi="微软雅黑" w:cs="宋体" w:hint="eastAsia"/>
          <w:color w:val="333333"/>
          <w:kern w:val="0"/>
          <w:szCs w:val="21"/>
        </w:rPr>
        <w:t> </w:t>
      </w:r>
    </w:p>
    <w:p w:rsidR="004E26D6" w:rsidRPr="004E26D6" w:rsidRDefault="004E26D6" w:rsidP="004E26D6">
      <w:pPr>
        <w:widowControl/>
        <w:shd w:val="clear" w:color="auto" w:fill="FFFFFF"/>
        <w:spacing w:line="420" w:lineRule="atLeast"/>
        <w:jc w:val="left"/>
        <w:rPr>
          <w:rFonts w:ascii="微软雅黑" w:eastAsia="微软雅黑" w:hAnsi="微软雅黑" w:cs="宋体" w:hint="eastAsia"/>
          <w:color w:val="333333"/>
          <w:kern w:val="0"/>
          <w:szCs w:val="21"/>
        </w:rPr>
      </w:pPr>
      <w:r w:rsidRPr="004E26D6">
        <w:rPr>
          <w:rFonts w:ascii="微软雅黑" w:eastAsia="微软雅黑" w:hAnsi="微软雅黑" w:cs="宋体" w:hint="eastAsia"/>
          <w:color w:val="333333"/>
          <w:kern w:val="0"/>
          <w:szCs w:val="21"/>
        </w:rPr>
        <w:t> </w:t>
      </w:r>
    </w:p>
    <w:p w:rsidR="004E26D6" w:rsidRPr="004E26D6" w:rsidRDefault="004E26D6" w:rsidP="004E26D6">
      <w:pPr>
        <w:widowControl/>
        <w:shd w:val="clear" w:color="auto" w:fill="FFFFFF"/>
        <w:spacing w:line="420" w:lineRule="atLeast"/>
        <w:jc w:val="left"/>
        <w:rPr>
          <w:rFonts w:ascii="微软雅黑" w:eastAsia="微软雅黑" w:hAnsi="微软雅黑" w:cs="宋体" w:hint="eastAsia"/>
          <w:color w:val="333333"/>
          <w:kern w:val="0"/>
          <w:szCs w:val="21"/>
        </w:rPr>
      </w:pPr>
      <w:r w:rsidRPr="004E26D6">
        <w:rPr>
          <w:rFonts w:ascii="微软雅黑" w:eastAsia="微软雅黑" w:hAnsi="微软雅黑" w:cs="宋体" w:hint="eastAsia"/>
          <w:color w:val="333333"/>
          <w:kern w:val="0"/>
          <w:szCs w:val="21"/>
        </w:rPr>
        <w:t> </w:t>
      </w:r>
    </w:p>
    <w:p w:rsidR="004E26D6" w:rsidRPr="004E26D6" w:rsidRDefault="004E26D6" w:rsidP="004E26D6">
      <w:pPr>
        <w:widowControl/>
        <w:shd w:val="clear" w:color="auto" w:fill="FFFFFF"/>
        <w:spacing w:line="420" w:lineRule="atLeast"/>
        <w:jc w:val="left"/>
        <w:rPr>
          <w:rFonts w:ascii="微软雅黑" w:eastAsia="微软雅黑" w:hAnsi="微软雅黑" w:cs="宋体" w:hint="eastAsia"/>
          <w:color w:val="333333"/>
          <w:kern w:val="0"/>
          <w:szCs w:val="21"/>
        </w:rPr>
      </w:pPr>
      <w:r w:rsidRPr="004E26D6">
        <w:rPr>
          <w:rFonts w:ascii="微软雅黑" w:eastAsia="微软雅黑" w:hAnsi="微软雅黑" w:cs="宋体" w:hint="eastAsia"/>
          <w:color w:val="333333"/>
          <w:kern w:val="0"/>
          <w:szCs w:val="21"/>
        </w:rPr>
        <w:t> </w:t>
      </w:r>
    </w:p>
    <w:p w:rsidR="004E26D6" w:rsidRPr="004E26D6" w:rsidRDefault="004E26D6" w:rsidP="004E26D6">
      <w:pPr>
        <w:widowControl/>
        <w:shd w:val="clear" w:color="auto" w:fill="FFFFFF"/>
        <w:spacing w:line="420" w:lineRule="atLeast"/>
        <w:jc w:val="left"/>
        <w:rPr>
          <w:rFonts w:ascii="微软雅黑" w:eastAsia="微软雅黑" w:hAnsi="微软雅黑" w:cs="宋体" w:hint="eastAsia"/>
          <w:color w:val="333333"/>
          <w:kern w:val="0"/>
          <w:szCs w:val="21"/>
        </w:rPr>
      </w:pPr>
      <w:r w:rsidRPr="004E26D6">
        <w:rPr>
          <w:rFonts w:ascii="微软雅黑" w:eastAsia="微软雅黑" w:hAnsi="微软雅黑" w:cs="宋体" w:hint="eastAsia"/>
          <w:color w:val="333333"/>
          <w:kern w:val="0"/>
          <w:szCs w:val="21"/>
        </w:rPr>
        <w:br/>
        <w:t> </w:t>
      </w:r>
      <w:r w:rsidRPr="004E26D6">
        <w:rPr>
          <w:rFonts w:ascii="微软雅黑" w:eastAsia="微软雅黑" w:hAnsi="微软雅黑" w:cs="宋体" w:hint="eastAsia"/>
          <w:color w:val="333333"/>
          <w:kern w:val="0"/>
          <w:szCs w:val="21"/>
        </w:rPr>
        <w:br/>
        <w:t>各县区人民政府，开发区、示范园区管委，市政府有关部门、有关直属机构：</w:t>
      </w:r>
      <w:r w:rsidRPr="004E26D6">
        <w:rPr>
          <w:rFonts w:ascii="微软雅黑" w:eastAsia="微软雅黑" w:hAnsi="微软雅黑" w:cs="宋体" w:hint="eastAsia"/>
          <w:color w:val="333333"/>
          <w:kern w:val="0"/>
          <w:szCs w:val="21"/>
        </w:rPr>
        <w:br/>
        <w:t xml:space="preserve">　　建设战略性新兴产业集聚发展基地，是推进调结构、转方式、促升级的强大动力，是促进战略性新兴产业规模壮大、结构提升、集约集聚的突破口，也是加快建设幸福六安的重要任务。根据《安徽省人民政府关于加快建设战略性新兴产业集聚发展基地的意见》（皖政〔2015〕48号）和《中共六安市委六安市人民政府关于印发&lt;加快调结构转方式促升级行动实施方案&gt;的通知》（六发〔2015〕13号）等文件精神，结合我市实际，现提出如下意见：</w:t>
      </w:r>
      <w:r w:rsidRPr="004E26D6">
        <w:rPr>
          <w:rFonts w:ascii="微软雅黑" w:eastAsia="微软雅黑" w:hAnsi="微软雅黑" w:cs="宋体" w:hint="eastAsia"/>
          <w:color w:val="333333"/>
          <w:kern w:val="0"/>
          <w:szCs w:val="21"/>
        </w:rPr>
        <w:br/>
        <w:t xml:space="preserve">　　一、构建产业集聚新格局</w:t>
      </w:r>
      <w:r w:rsidRPr="004E26D6">
        <w:rPr>
          <w:rFonts w:ascii="微软雅黑" w:eastAsia="微软雅黑" w:hAnsi="微软雅黑" w:cs="宋体" w:hint="eastAsia"/>
          <w:color w:val="333333"/>
          <w:kern w:val="0"/>
          <w:szCs w:val="21"/>
        </w:rPr>
        <w:br/>
        <w:t xml:space="preserve">　　根据各县区产业基础和特色优势，坚持因地制宜、因业布局、因时施策，加快形成优势互补、错位发展、协调共享的战略性新兴产业集聚发展新格局。到2020年，打造一批在相对集中的区域，汇聚产业配套完备、创新优势突出、区域特色明显、规模效益显著的产业群体，力争建成10个左右市级战略性新兴产业集聚发展基地。全市基地工业总产值突破千亿元，其中高端装备制造基础零部件、新能源、新一代信息技术等领域的5个左右</w:t>
      </w:r>
      <w:r w:rsidRPr="004E26D6">
        <w:rPr>
          <w:rFonts w:ascii="微软雅黑" w:eastAsia="微软雅黑" w:hAnsi="微软雅黑" w:cs="宋体" w:hint="eastAsia"/>
          <w:color w:val="333333"/>
          <w:kern w:val="0"/>
          <w:szCs w:val="21"/>
        </w:rPr>
        <w:lastRenderedPageBreak/>
        <w:t>基地产值突破百亿元，力争2个以上基地列入省战略性新兴产业集聚发展基地。初步形成以战略性新兴产业为先导、先进制造业为主导的现代产业新体系。</w:t>
      </w:r>
      <w:r w:rsidRPr="004E26D6">
        <w:rPr>
          <w:rFonts w:ascii="微软雅黑" w:eastAsia="微软雅黑" w:hAnsi="微软雅黑" w:cs="宋体" w:hint="eastAsia"/>
          <w:color w:val="333333"/>
          <w:kern w:val="0"/>
          <w:szCs w:val="21"/>
        </w:rPr>
        <w:br/>
        <w:t xml:space="preserve">　　二、严格基地申报条件</w:t>
      </w:r>
      <w:r w:rsidRPr="004E26D6">
        <w:rPr>
          <w:rFonts w:ascii="微软雅黑" w:eastAsia="微软雅黑" w:hAnsi="微软雅黑" w:cs="宋体" w:hint="eastAsia"/>
          <w:color w:val="333333"/>
          <w:kern w:val="0"/>
          <w:szCs w:val="21"/>
        </w:rPr>
        <w:br/>
        <w:t xml:space="preserve">　　坚持“立足现有、放眼前沿、市场引领、政策支持、集聚发展”的原则，根据高水平起步、高标准要求，按照产业领域、产业基础、龙头企业、创新能力、支撑项目、绿色发展等6个方面条件，在现有各类园区中比选确定市战略性新兴产业集聚发展基地（以下简称基地）。</w:t>
      </w:r>
      <w:r w:rsidRPr="004E26D6">
        <w:rPr>
          <w:rFonts w:ascii="微软雅黑" w:eastAsia="微软雅黑" w:hAnsi="微软雅黑" w:cs="宋体" w:hint="eastAsia"/>
          <w:color w:val="333333"/>
          <w:kern w:val="0"/>
          <w:szCs w:val="21"/>
        </w:rPr>
        <w:br/>
        <w:t xml:space="preserve">　　（一）产业领域。基地申报产业领域主要包括新一代电子信息、先进装备制造、生物医药和高端医疗器械、新材料、新能源、节能环保、新能源汽车、绿色食品和现代服务业等。年度具体申报领域，由市战略性新兴产业集聚发展基地建设工作领导小组办公室（以下简称市战新基地领导小组办公室）按照国家、省、市有关规定拟定和发布。</w:t>
      </w:r>
      <w:r w:rsidRPr="004E26D6">
        <w:rPr>
          <w:rFonts w:ascii="微软雅黑" w:eastAsia="微软雅黑" w:hAnsi="微软雅黑" w:cs="宋体" w:hint="eastAsia"/>
          <w:color w:val="333333"/>
          <w:kern w:val="0"/>
          <w:szCs w:val="21"/>
        </w:rPr>
        <w:br/>
        <w:t xml:space="preserve">　　（二）产业基础。园区内已经形成较为完整的产业链和一定规模的产业集群，公共服务体系完善，水电路网和污染物处理等基础设施完备。园区申报领域现有产业规模原则上不低于20亿元。</w:t>
      </w:r>
      <w:r w:rsidRPr="004E26D6">
        <w:rPr>
          <w:rFonts w:ascii="微软雅黑" w:eastAsia="微软雅黑" w:hAnsi="微软雅黑" w:cs="宋体" w:hint="eastAsia"/>
          <w:color w:val="333333"/>
          <w:kern w:val="0"/>
          <w:szCs w:val="21"/>
        </w:rPr>
        <w:br/>
        <w:t xml:space="preserve">　　（三）龙头企业。园区内拥有（或者近期有明确投资意向）至少1家位于产业链核心环节、产品和服务质量省内一流、对上下游企业具有较强辐射带动作用的优势骨干企业。制造业企业须是规模实力位于省内前列的高新技术企业。</w:t>
      </w:r>
      <w:r w:rsidRPr="004E26D6">
        <w:rPr>
          <w:rFonts w:ascii="微软雅黑" w:eastAsia="微软雅黑" w:hAnsi="微软雅黑" w:cs="宋体" w:hint="eastAsia"/>
          <w:color w:val="333333"/>
          <w:kern w:val="0"/>
          <w:szCs w:val="21"/>
        </w:rPr>
        <w:br/>
        <w:t xml:space="preserve">　　（四）创新能力。园区至少拥有1家市级以上申报产业领域的创新平台。产业创新创业团队、领军人才在业内有较强影响力。园区内拥有公共科技服务机构。</w:t>
      </w:r>
      <w:r w:rsidRPr="004E26D6">
        <w:rPr>
          <w:rFonts w:ascii="微软雅黑" w:eastAsia="微软雅黑" w:hAnsi="微软雅黑" w:cs="宋体" w:hint="eastAsia"/>
          <w:color w:val="333333"/>
          <w:kern w:val="0"/>
          <w:szCs w:val="21"/>
        </w:rPr>
        <w:br/>
        <w:t xml:space="preserve">　　（五）支撑项目。园区要有围绕产业链关键环节的重大项目，在建项目不少于10个，签约项目不少于5个，在谈项目不少于5个，其中产业链骨干项目单体投资规模不低于2亿元（配套企业项目或自主创新类项目可适当放宽限制）。签约项目当年具备开工条</w:t>
      </w:r>
      <w:r w:rsidRPr="004E26D6">
        <w:rPr>
          <w:rFonts w:ascii="微软雅黑" w:eastAsia="微软雅黑" w:hAnsi="微软雅黑" w:cs="宋体" w:hint="eastAsia"/>
          <w:color w:val="333333"/>
          <w:kern w:val="0"/>
          <w:szCs w:val="21"/>
        </w:rPr>
        <w:lastRenderedPageBreak/>
        <w:t>件，前期手续齐备，建设资金落实，建设周期原则上不超过2年。</w:t>
      </w:r>
      <w:r w:rsidRPr="004E26D6">
        <w:rPr>
          <w:rFonts w:ascii="微软雅黑" w:eastAsia="微软雅黑" w:hAnsi="微软雅黑" w:cs="宋体" w:hint="eastAsia"/>
          <w:color w:val="333333"/>
          <w:kern w:val="0"/>
          <w:szCs w:val="21"/>
        </w:rPr>
        <w:br/>
        <w:t xml:space="preserve">　　（六）绿色发展。基地内资源产出率、能耗水平等处于全省同行业领先水平，污染物排放达标，无高耗能和淘汰落后设备设施，近3年未发生重大环境污染事故和较大安全生产事故。</w:t>
      </w:r>
      <w:r w:rsidRPr="004E26D6">
        <w:rPr>
          <w:rFonts w:ascii="微软雅黑" w:eastAsia="微软雅黑" w:hAnsi="微软雅黑" w:cs="宋体" w:hint="eastAsia"/>
          <w:color w:val="333333"/>
          <w:kern w:val="0"/>
          <w:szCs w:val="21"/>
        </w:rPr>
        <w:br/>
        <w:t xml:space="preserve">　　三、规范基地认定程序</w:t>
      </w:r>
      <w:r w:rsidRPr="004E26D6">
        <w:rPr>
          <w:rFonts w:ascii="微软雅黑" w:eastAsia="微软雅黑" w:hAnsi="微软雅黑" w:cs="宋体" w:hint="eastAsia"/>
          <w:color w:val="333333"/>
          <w:kern w:val="0"/>
          <w:szCs w:val="21"/>
        </w:rPr>
        <w:br/>
        <w:t xml:space="preserve">　　基地认定工作分方案申报、组织评审、结果公示、签订责任书并授牌四个环节，每个环节都按有关法律规定规范操作，确保公开、公平、公正。</w:t>
      </w:r>
      <w:r w:rsidRPr="004E26D6">
        <w:rPr>
          <w:rFonts w:ascii="微软雅黑" w:eastAsia="微软雅黑" w:hAnsi="微软雅黑" w:cs="宋体" w:hint="eastAsia"/>
          <w:color w:val="333333"/>
          <w:kern w:val="0"/>
          <w:szCs w:val="21"/>
        </w:rPr>
        <w:br/>
        <w:t xml:space="preserve">　　（一）方案申报。园区负责编制基地建设实施方案，所在县区政府（管委）审核后，由县区政府（管委）上报市战新基地领导小组办公室。</w:t>
      </w:r>
      <w:r w:rsidRPr="004E26D6">
        <w:rPr>
          <w:rFonts w:ascii="微软雅黑" w:eastAsia="微软雅黑" w:hAnsi="微软雅黑" w:cs="宋体" w:hint="eastAsia"/>
          <w:color w:val="333333"/>
          <w:kern w:val="0"/>
          <w:szCs w:val="21"/>
        </w:rPr>
        <w:br/>
        <w:t xml:space="preserve">　　（二）组织评审。市战新基地领导小组办公室委托咨询机构对实施方案进行评审。咨询机构按照公开、公平、公正的原则，综合考虑产业基础、龙头企业、创新能力、支撑项目等条件，采取竞争性评审、打分排队的方式提出评审意见和推荐名单。</w:t>
      </w:r>
      <w:r w:rsidRPr="004E26D6">
        <w:rPr>
          <w:rFonts w:ascii="微软雅黑" w:eastAsia="微软雅黑" w:hAnsi="微软雅黑" w:cs="宋体" w:hint="eastAsia"/>
          <w:color w:val="333333"/>
          <w:kern w:val="0"/>
          <w:szCs w:val="21"/>
        </w:rPr>
        <w:br/>
        <w:t xml:space="preserve">　　（三）结果公示。根据评审结果，市战新基地领导小组办公室会同市直有关部门综合考虑咨询机构的评审意见、基地当年建设任务、对经济发展的贡献度等因素，提出拟支持基地的初选名单和资金安排初步方案报市政府审定。审定通过后，市战新基地领导小组办公室根据市政府要求对拟支持的基地名单进行公示，公示期不少于10个工作日。公示无异议的，市政府发文确定基地名单。</w:t>
      </w:r>
      <w:r w:rsidRPr="004E26D6">
        <w:rPr>
          <w:rFonts w:ascii="微软雅黑" w:eastAsia="微软雅黑" w:hAnsi="微软雅黑" w:cs="宋体" w:hint="eastAsia"/>
          <w:color w:val="333333"/>
          <w:kern w:val="0"/>
          <w:szCs w:val="21"/>
        </w:rPr>
        <w:br/>
        <w:t xml:space="preserve">　　（四）签订责任书并授牌。市政府与基地所在县区政府（管委）签订目标责任书，并对基地进行授牌。</w:t>
      </w:r>
      <w:r w:rsidRPr="004E26D6">
        <w:rPr>
          <w:rFonts w:ascii="微软雅黑" w:eastAsia="微软雅黑" w:hAnsi="微软雅黑" w:cs="宋体" w:hint="eastAsia"/>
          <w:color w:val="333333"/>
          <w:kern w:val="0"/>
          <w:szCs w:val="21"/>
        </w:rPr>
        <w:br/>
        <w:t xml:space="preserve">　　四、加快推进重点任务</w:t>
      </w:r>
      <w:r w:rsidRPr="004E26D6">
        <w:rPr>
          <w:rFonts w:ascii="微软雅黑" w:eastAsia="微软雅黑" w:hAnsi="微软雅黑" w:cs="宋体" w:hint="eastAsia"/>
          <w:color w:val="333333"/>
          <w:kern w:val="0"/>
          <w:szCs w:val="21"/>
        </w:rPr>
        <w:br/>
        <w:t xml:space="preserve">　　（一）培育龙头企业。坚持招大引强与内生培育相结合，每个基地培育1-2户处于产业链关键环节、居于全省行业排名前列的技术领先、品牌知名、创新能力强、引领产业升</w:t>
      </w:r>
      <w:r w:rsidRPr="004E26D6">
        <w:rPr>
          <w:rFonts w:ascii="微软雅黑" w:eastAsia="微软雅黑" w:hAnsi="微软雅黑" w:cs="宋体" w:hint="eastAsia"/>
          <w:color w:val="333333"/>
          <w:kern w:val="0"/>
          <w:szCs w:val="21"/>
        </w:rPr>
        <w:lastRenderedPageBreak/>
        <w:t>级的龙头企业。支持龙头企业通过联合重组、技改升级、上市扩张等方式做大做强，加快打造一批100亿元、50亿元、30亿元企业。</w:t>
      </w:r>
      <w:r w:rsidRPr="004E26D6">
        <w:rPr>
          <w:rFonts w:ascii="微软雅黑" w:eastAsia="微软雅黑" w:hAnsi="微软雅黑" w:cs="宋体" w:hint="eastAsia"/>
          <w:color w:val="333333"/>
          <w:kern w:val="0"/>
          <w:szCs w:val="21"/>
        </w:rPr>
        <w:br/>
        <w:t xml:space="preserve">　　（二）壮大骨干企业。引导基地龙头企业和中小企业开展多种形式的合作，建立稳定的供应、生产、销售等协作配套关系。建立基地优秀企业库，打造10-20家骨干企业，推动骨干企业加速成长为龙头企业。坚持多元化发展，切实改变部分地区产业发展对个别龙头企业过度依赖的状况。</w:t>
      </w:r>
      <w:r w:rsidRPr="004E26D6">
        <w:rPr>
          <w:rFonts w:ascii="微软雅黑" w:eastAsia="微软雅黑" w:hAnsi="微软雅黑" w:cs="宋体" w:hint="eastAsia"/>
          <w:color w:val="333333"/>
          <w:kern w:val="0"/>
          <w:szCs w:val="21"/>
        </w:rPr>
        <w:br/>
        <w:t xml:space="preserve">　　（三）夯实产业基础。以龙头企业、重大项目、关键产品为核心，围绕基地产业链缺失和薄弱环节，完善上下游配套体系，拉长产业链、做大产业群。引导基地中小微企业进一步突出主业、做优产品，在产业链、细分领域和细分市场占据制高点，培育成为行业“小巨人”、“配套专家”、“隐形冠军”。</w:t>
      </w:r>
      <w:r w:rsidRPr="004E26D6">
        <w:rPr>
          <w:rFonts w:ascii="微软雅黑" w:eastAsia="微软雅黑" w:hAnsi="微软雅黑" w:cs="宋体" w:hint="eastAsia"/>
          <w:color w:val="333333"/>
          <w:kern w:val="0"/>
          <w:szCs w:val="21"/>
        </w:rPr>
        <w:br/>
        <w:t xml:space="preserve">　　（四）打造创新平台。围绕基地建设，加快建设一批省级工程（技术）研究中心、重点（工程）实验室、企业技术中心、工业设计中心、检验检测中心等各类创新平台，着力增强各类创新平台功能，提升服务水平。积极创建国家级创新平台，省级基地国家级创新平台全覆盖、市级基地省级创新平台全覆盖。鼓励有条件的企业组建产业技术研究院、产业技术创新战略联盟、院士工作站及博士后工作站等产学研用实体。</w:t>
      </w:r>
      <w:r w:rsidRPr="004E26D6">
        <w:rPr>
          <w:rFonts w:ascii="微软雅黑" w:eastAsia="微软雅黑" w:hAnsi="微软雅黑" w:cs="宋体" w:hint="eastAsia"/>
          <w:color w:val="333333"/>
          <w:kern w:val="0"/>
          <w:szCs w:val="21"/>
        </w:rPr>
        <w:br/>
        <w:t xml:space="preserve">　　（五）加强协同合作。通过重大经贸会展、定向精准对接等方式，积极与知名民企、外企及央企合作，推动基地产业“由弱到强”。支持企业通过委托开发、专利授权、众包众创等方式引进先进技术。支持基地内企业开展企业、技术、品牌并购。支持企业将互联网技术融合到生产、管理、销售、服务等环节，全方位推进产品创新、品牌创新、产业组织创新和商业模式创新。</w:t>
      </w:r>
      <w:r w:rsidRPr="004E26D6">
        <w:rPr>
          <w:rFonts w:ascii="微软雅黑" w:eastAsia="微软雅黑" w:hAnsi="微软雅黑" w:cs="宋体" w:hint="eastAsia"/>
          <w:color w:val="333333"/>
          <w:kern w:val="0"/>
          <w:szCs w:val="21"/>
        </w:rPr>
        <w:br/>
        <w:t xml:space="preserve">　　（六）强化招商引资。全面对接《中国制造2025》等国家战略，把握产业发展趋势，结合基地实际，制定和完善优惠政策，提高开放合作水平，制定详实的招商计划，开</w:t>
      </w:r>
      <w:r w:rsidRPr="004E26D6">
        <w:rPr>
          <w:rFonts w:ascii="微软雅黑" w:eastAsia="微软雅黑" w:hAnsi="微软雅黑" w:cs="宋体" w:hint="eastAsia"/>
          <w:color w:val="333333"/>
          <w:kern w:val="0"/>
          <w:szCs w:val="21"/>
        </w:rPr>
        <w:lastRenderedPageBreak/>
        <w:t>展精准招商，积极引进一批投资规模较大、产业带动力较强、拥有核心技术的知名企业，促进更多的战略性新兴产业项目落户。</w:t>
      </w:r>
      <w:r w:rsidRPr="004E26D6">
        <w:rPr>
          <w:rFonts w:ascii="微软雅黑" w:eastAsia="微软雅黑" w:hAnsi="微软雅黑" w:cs="宋体" w:hint="eastAsia"/>
          <w:color w:val="333333"/>
          <w:kern w:val="0"/>
          <w:szCs w:val="21"/>
        </w:rPr>
        <w:br/>
        <w:t xml:space="preserve">　　（七）广泛招才引智。建立与战略性新兴产业集聚发展要求相适应的人才管理、引进、培养、激励机制，集聚一批优秀企业家、高层次创新人才和高技能人才队伍。完善创新人才评价、流动和激励机制，推进职称制度和职业资格制度改革，促进科研院所、高校与企业创新人才双向流动，鼓励拥有自主知识产权和重大科技实施项目的高端人才来六安创业。</w:t>
      </w:r>
      <w:r w:rsidRPr="004E26D6">
        <w:rPr>
          <w:rFonts w:ascii="微软雅黑" w:eastAsia="微软雅黑" w:hAnsi="微软雅黑" w:cs="宋体" w:hint="eastAsia"/>
          <w:color w:val="333333"/>
          <w:kern w:val="0"/>
          <w:szCs w:val="21"/>
        </w:rPr>
        <w:br/>
        <w:t xml:space="preserve">　　五、持续完善政策措施</w:t>
      </w:r>
      <w:r w:rsidRPr="004E26D6">
        <w:rPr>
          <w:rFonts w:ascii="微软雅黑" w:eastAsia="微软雅黑" w:hAnsi="微软雅黑" w:cs="宋体" w:hint="eastAsia"/>
          <w:color w:val="333333"/>
          <w:kern w:val="0"/>
          <w:szCs w:val="21"/>
        </w:rPr>
        <w:br/>
        <w:t xml:space="preserve">　　（一）设立专项引导资金。自2017年起至2020年，市本级每年财政预算安排2亿元左右，设立市战略性新兴产业集聚发展基地建设专项引导资金，采取“借转补”的形式专项用于省战略性新兴产业集聚发展基地、省重大新兴产业工程、省重大新兴产业专项补助和市战略性新兴产业集聚发展基地扶持。其中，对市战略性新兴产业集聚发展基地扶持，补助资金市与区按4:6，市与县按3:7比例配套。拓宽政府对基地的支持方式。  </w:t>
      </w:r>
      <w:r w:rsidRPr="004E26D6">
        <w:rPr>
          <w:rFonts w:ascii="微软雅黑" w:eastAsia="微软雅黑" w:hAnsi="微软雅黑" w:cs="宋体" w:hint="eastAsia"/>
          <w:color w:val="333333"/>
          <w:kern w:val="0"/>
          <w:szCs w:val="21"/>
        </w:rPr>
        <w:br/>
        <w:t xml:space="preserve">　　（二）做大产业投资基金规模。成立新兴产业投资基金，撬动社会资本参与基地建设。成立天使基金、创业投资基金和股权投资基金等支持基地的核心企业以及处于不同发展阶段的中小微企业。积极向各类基金推荐基地内的优秀企业和重大项目。</w:t>
      </w:r>
      <w:r w:rsidRPr="004E26D6">
        <w:rPr>
          <w:rFonts w:ascii="微软雅黑" w:eastAsia="微软雅黑" w:hAnsi="微软雅黑" w:cs="宋体" w:hint="eastAsia"/>
          <w:color w:val="333333"/>
          <w:kern w:val="0"/>
          <w:szCs w:val="21"/>
        </w:rPr>
        <w:br/>
        <w:t xml:space="preserve">　　（三）强化要素保障。鼓励金融机构为基地建设制定系统性融资规划，合理提高综合授信额度。引导保险资金参与基地建设。支持基地符合条件的企业在境内外资本市场上市融资和通过各类债务工具融资。基地重大项目建设用地按需申报，争取在省级预留建设用地指标中优先安排解决。</w:t>
      </w:r>
      <w:r w:rsidRPr="004E26D6">
        <w:rPr>
          <w:rFonts w:ascii="微软雅黑" w:eastAsia="微软雅黑" w:hAnsi="微软雅黑" w:cs="宋体" w:hint="eastAsia"/>
          <w:color w:val="333333"/>
          <w:kern w:val="0"/>
          <w:szCs w:val="21"/>
        </w:rPr>
        <w:br/>
        <w:t xml:space="preserve">　　（四）优先争取上级支持。优先支持市级战略性新兴产业集聚发展基地申报省级战略性新兴产业集聚发展基地和国家战略性新兴产业集聚发展试点。优先支持基地内重大产业</w:t>
      </w:r>
      <w:r w:rsidRPr="004E26D6">
        <w:rPr>
          <w:rFonts w:ascii="微软雅黑" w:eastAsia="微软雅黑" w:hAnsi="微软雅黑" w:cs="宋体" w:hint="eastAsia"/>
          <w:color w:val="333333"/>
          <w:kern w:val="0"/>
          <w:szCs w:val="21"/>
        </w:rPr>
        <w:lastRenderedPageBreak/>
        <w:t>化项目和创新创业平台建设项目争取中央预算内投资、专项建设基金和省各类专项资金。</w:t>
      </w:r>
      <w:r w:rsidRPr="004E26D6">
        <w:rPr>
          <w:rFonts w:ascii="微软雅黑" w:eastAsia="微软雅黑" w:hAnsi="微软雅黑" w:cs="宋体" w:hint="eastAsia"/>
          <w:color w:val="333333"/>
          <w:kern w:val="0"/>
          <w:szCs w:val="21"/>
        </w:rPr>
        <w:br/>
        <w:t xml:space="preserve">　　（五）加快创新创业能力建设。优先向基地倾斜各类人才激励政策。支持基地以龙头企业为主体，联合科研院所、上下游企业、重要用户建设各类创新平台。鼓励境内外龙头企业在基地设立地区总部和研发中心，支持基地企业在境内外兼并重组拥有核心技术、高端品牌、营销渠道的企业和科研机构。</w:t>
      </w:r>
      <w:r w:rsidRPr="004E26D6">
        <w:rPr>
          <w:rFonts w:ascii="微软雅黑" w:eastAsia="微软雅黑" w:hAnsi="微软雅黑" w:cs="宋体" w:hint="eastAsia"/>
          <w:color w:val="333333"/>
          <w:kern w:val="0"/>
          <w:szCs w:val="21"/>
        </w:rPr>
        <w:br/>
        <w:t xml:space="preserve">　　六、建立健全推进机制</w:t>
      </w:r>
      <w:r w:rsidRPr="004E26D6">
        <w:rPr>
          <w:rFonts w:ascii="微软雅黑" w:eastAsia="微软雅黑" w:hAnsi="微软雅黑" w:cs="宋体" w:hint="eastAsia"/>
          <w:color w:val="333333"/>
          <w:kern w:val="0"/>
          <w:szCs w:val="21"/>
        </w:rPr>
        <w:br/>
        <w:t xml:space="preserve">　　（一）加强组织领导。市政府成立市战略性新兴产业集聚发展基地建设工作领导小组，负责基地建设重大政策措施、实施方案和年度重点工作计划的统筹制定、指导协调和督促检查工作。领导小组办公室设在市发展改革委，具体承担基地建设与管理的日常工作。各县区政府（管委）要成立领导组织和专门机构，落实人员、经费等工作条件，集中力量开展工作。</w:t>
      </w:r>
      <w:r w:rsidRPr="004E26D6">
        <w:rPr>
          <w:rFonts w:ascii="微软雅黑" w:eastAsia="微软雅黑" w:hAnsi="微软雅黑" w:cs="宋体" w:hint="eastAsia"/>
          <w:color w:val="333333"/>
          <w:kern w:val="0"/>
          <w:szCs w:val="21"/>
        </w:rPr>
        <w:br/>
        <w:t xml:space="preserve">　　（二）明确工作责任。基地采取“申报制”，由所在县区组织相关园区申报。园区是推进主体，负责编制基地实施方案，推进基地建设。相关县区政府（管委）是责任主体，承担基地规划、建设管理和要素保障等任务。市政府审议确定基地后，在基地所在园区加挂“六安市×××（产业名称）产业集聚发展基地”的牌子，实行“两块牌子、一套人马”。</w:t>
      </w:r>
      <w:r w:rsidRPr="004E26D6">
        <w:rPr>
          <w:rFonts w:ascii="微软雅黑" w:eastAsia="微软雅黑" w:hAnsi="微软雅黑" w:cs="宋体" w:hint="eastAsia"/>
          <w:color w:val="333333"/>
          <w:kern w:val="0"/>
          <w:szCs w:val="21"/>
        </w:rPr>
        <w:br/>
        <w:t xml:space="preserve">　　（三）强化考核评估。建立基地优胜劣汰、动态调整机制，突出奖惩激励导向。基地确定后，市政府与所在县区政府（管委）签订目标责任书。基地所在县区政府（管委）每半年向市战新基地领导小组办公室报送基地发展情况。主要包括基地产业发展情况、重点项目进展、重点企业销售收入和税收、推进举措等内容。市战新基地领导小组办公室每年委托第三方组织专家评审，对基地建设情况和产业发展情况进行考核评估，评估认定优秀的，加大资金支持力度；评估认定合格的，预拨资金转为财政补助资金；评估认定部分不</w:t>
      </w:r>
      <w:r w:rsidRPr="004E26D6">
        <w:rPr>
          <w:rFonts w:ascii="微软雅黑" w:eastAsia="微软雅黑" w:hAnsi="微软雅黑" w:cs="宋体" w:hint="eastAsia"/>
          <w:color w:val="333333"/>
          <w:kern w:val="0"/>
          <w:szCs w:val="21"/>
        </w:rPr>
        <w:lastRenderedPageBreak/>
        <w:t>合格的，按产值、税收等年度目标未完成比例进行扣减；评估认定不合格的，财政将收回预拨资金；对连续2年评估认定不合格的，予以摘牌。对弄虚作假或违反专项资金用途的，将追回市财政资金本息，并暂停其以后年度的专项引导资金安排。</w:t>
      </w:r>
    </w:p>
    <w:p w:rsidR="004E26D6" w:rsidRPr="004E26D6" w:rsidRDefault="004E26D6" w:rsidP="004E26D6">
      <w:pPr>
        <w:widowControl/>
        <w:shd w:val="clear" w:color="auto" w:fill="FFFFFF"/>
        <w:spacing w:line="420" w:lineRule="atLeast"/>
        <w:jc w:val="left"/>
        <w:rPr>
          <w:rFonts w:ascii="微软雅黑" w:eastAsia="微软雅黑" w:hAnsi="微软雅黑" w:cs="宋体" w:hint="eastAsia"/>
          <w:color w:val="333333"/>
          <w:kern w:val="0"/>
          <w:szCs w:val="21"/>
        </w:rPr>
      </w:pPr>
      <w:r w:rsidRPr="004E26D6">
        <w:rPr>
          <w:rFonts w:ascii="微软雅黑" w:eastAsia="微软雅黑" w:hAnsi="微软雅黑" w:cs="宋体" w:hint="eastAsia"/>
          <w:color w:val="333333"/>
          <w:kern w:val="0"/>
          <w:szCs w:val="21"/>
        </w:rPr>
        <w:br/>
        <w:t>                          　　　　　　　　　　　　　　　　　　　　　2016年12月30日</w:t>
      </w:r>
    </w:p>
    <w:p w:rsidR="004E26D6" w:rsidRPr="004E26D6" w:rsidRDefault="004E26D6" w:rsidP="004E26D6">
      <w:pPr>
        <w:widowControl/>
        <w:shd w:val="clear" w:color="auto" w:fill="FFFFFF"/>
        <w:spacing w:line="420" w:lineRule="atLeast"/>
        <w:jc w:val="left"/>
        <w:rPr>
          <w:rFonts w:ascii="微软雅黑" w:eastAsia="微软雅黑" w:hAnsi="微软雅黑" w:cs="宋体" w:hint="eastAsia"/>
          <w:color w:val="333333"/>
          <w:kern w:val="0"/>
          <w:szCs w:val="21"/>
        </w:rPr>
      </w:pPr>
      <w:r w:rsidRPr="004E26D6">
        <w:rPr>
          <w:rFonts w:ascii="微软雅黑" w:eastAsia="微软雅黑" w:hAnsi="微软雅黑" w:cs="宋体" w:hint="eastAsia"/>
          <w:color w:val="333333"/>
          <w:kern w:val="0"/>
          <w:szCs w:val="21"/>
        </w:rPr>
        <w:t> </w:t>
      </w:r>
    </w:p>
    <w:p w:rsidR="00793FDC" w:rsidRDefault="00793FDC">
      <w:bookmarkStart w:id="0" w:name="_GoBack"/>
      <w:bookmarkEnd w:id="0"/>
    </w:p>
    <w:sectPr w:rsidR="00793F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83"/>
    <w:rsid w:val="004E26D6"/>
    <w:rsid w:val="00793FDC"/>
    <w:rsid w:val="00D61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8ACC4-B93E-46DF-B8E1-8CE3AE57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26D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E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20801">
      <w:bodyDiv w:val="1"/>
      <w:marLeft w:val="0"/>
      <w:marRight w:val="0"/>
      <w:marTop w:val="0"/>
      <w:marBottom w:val="0"/>
      <w:divBdr>
        <w:top w:val="none" w:sz="0" w:space="0" w:color="auto"/>
        <w:left w:val="none" w:sz="0" w:space="0" w:color="auto"/>
        <w:bottom w:val="none" w:sz="0" w:space="0" w:color="auto"/>
        <w:right w:val="none" w:sz="0" w:space="0" w:color="auto"/>
      </w:divBdr>
      <w:divsChild>
        <w:div w:id="133549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2018-05-16T06:45:00Z</dcterms:created>
  <dcterms:modified xsi:type="dcterms:W3CDTF">2018-05-16T06:45:00Z</dcterms:modified>
</cp:coreProperties>
</file>