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CellSpacing w:w="0" w:type="dxa"/>
        <w:tblCellMar>
          <w:left w:w="0" w:type="dxa"/>
          <w:right w:w="0" w:type="dxa"/>
        </w:tblCellMar>
        <w:tblLook w:val="04A0" w:firstRow="1" w:lastRow="0" w:firstColumn="1" w:lastColumn="0" w:noHBand="0" w:noVBand="1"/>
      </w:tblPr>
      <w:tblGrid>
        <w:gridCol w:w="8306"/>
      </w:tblGrid>
      <w:tr w:rsidR="00E06E49" w:rsidRPr="00E06E49" w:rsidTr="00E06E49">
        <w:trPr>
          <w:trHeight w:val="1650"/>
          <w:tblCellSpacing w:w="0" w:type="dxa"/>
          <w:jc w:val="center"/>
        </w:trPr>
        <w:tc>
          <w:tcPr>
            <w:tcW w:w="0" w:type="auto"/>
            <w:hideMark/>
          </w:tcPr>
          <w:tbl>
            <w:tblPr>
              <w:tblW w:w="4000" w:type="pct"/>
              <w:jc w:val="center"/>
              <w:tblCellSpacing w:w="0" w:type="dxa"/>
              <w:tblCellMar>
                <w:left w:w="0" w:type="dxa"/>
                <w:right w:w="0" w:type="dxa"/>
              </w:tblCellMar>
              <w:tblLook w:val="04A0" w:firstRow="1" w:lastRow="0" w:firstColumn="1" w:lastColumn="0" w:noHBand="0" w:noVBand="1"/>
            </w:tblPr>
            <w:tblGrid>
              <w:gridCol w:w="6645"/>
            </w:tblGrid>
            <w:tr w:rsidR="00E06E49" w:rsidRPr="00E06E49">
              <w:trPr>
                <w:trHeight w:val="900"/>
                <w:tblCellSpacing w:w="0" w:type="dxa"/>
                <w:jc w:val="center"/>
              </w:trPr>
              <w:tc>
                <w:tcPr>
                  <w:tcW w:w="5000" w:type="pct"/>
                  <w:vAlign w:val="center"/>
                  <w:hideMark/>
                </w:tcPr>
                <w:p w:rsidR="00E06E49" w:rsidRPr="00E06E49" w:rsidRDefault="00E06E49" w:rsidP="00E06E49">
                  <w:pPr>
                    <w:widowControl/>
                    <w:spacing w:line="450" w:lineRule="atLeast"/>
                    <w:jc w:val="center"/>
                    <w:rPr>
                      <w:rFonts w:ascii="宋体" w:eastAsia="宋体" w:hAnsi="宋体" w:cs="宋体"/>
                      <w:b/>
                      <w:bCs/>
                      <w:color w:val="003366"/>
                      <w:kern w:val="0"/>
                      <w:szCs w:val="24"/>
                    </w:rPr>
                  </w:pPr>
                  <w:r w:rsidRPr="00E06E49">
                    <w:rPr>
                      <w:rFonts w:ascii="宋体" w:eastAsia="宋体" w:hAnsi="宋体" w:cs="宋体" w:hint="eastAsia"/>
                      <w:b/>
                      <w:bCs/>
                      <w:color w:val="003366"/>
                      <w:kern w:val="0"/>
                      <w:szCs w:val="24"/>
                    </w:rPr>
                    <w:t>锡林郭勒盟科学技术奖励办法</w:t>
                  </w:r>
                </w:p>
              </w:tc>
            </w:tr>
            <w:tr w:rsidR="00E06E49" w:rsidRPr="00E06E49">
              <w:trPr>
                <w:tblCellSpacing w:w="0" w:type="dxa"/>
                <w:jc w:val="center"/>
              </w:trPr>
              <w:tc>
                <w:tcPr>
                  <w:tcW w:w="0" w:type="auto"/>
                  <w:vAlign w:val="center"/>
                  <w:hideMark/>
                </w:tcPr>
                <w:p w:rsidR="00E06E49" w:rsidRPr="00E06E49" w:rsidRDefault="00E06E49" w:rsidP="00E06E49">
                  <w:pPr>
                    <w:widowControl/>
                    <w:spacing w:line="240" w:lineRule="auto"/>
                    <w:jc w:val="center"/>
                    <w:rPr>
                      <w:rFonts w:ascii="宋体" w:eastAsia="宋体" w:hAnsi="宋体" w:cs="宋体" w:hint="eastAsia"/>
                      <w:color w:val="999999"/>
                      <w:kern w:val="0"/>
                      <w:sz w:val="18"/>
                      <w:szCs w:val="18"/>
                    </w:rPr>
                  </w:pPr>
                  <w:r w:rsidRPr="00E06E49">
                    <w:rPr>
                      <w:rFonts w:ascii="宋体" w:eastAsia="宋体" w:hAnsi="宋体" w:cs="宋体" w:hint="eastAsia"/>
                      <w:color w:val="999999"/>
                      <w:kern w:val="0"/>
                      <w:sz w:val="18"/>
                      <w:szCs w:val="18"/>
                    </w:rPr>
                    <w:t>2016-12-28 10:19:00</w:t>
                  </w:r>
                </w:p>
              </w:tc>
            </w:tr>
          </w:tbl>
          <w:p w:rsidR="00E06E49" w:rsidRPr="00E06E49" w:rsidRDefault="00E06E49" w:rsidP="00E06E49">
            <w:pPr>
              <w:widowControl/>
              <w:spacing w:line="240" w:lineRule="auto"/>
              <w:jc w:val="left"/>
              <w:rPr>
                <w:rFonts w:ascii="Simsun" w:eastAsia="宋体" w:hAnsi="Simsun" w:cs="宋体" w:hint="eastAsia"/>
                <w:kern w:val="0"/>
                <w:szCs w:val="24"/>
              </w:rPr>
            </w:pPr>
          </w:p>
        </w:tc>
      </w:tr>
      <w:tr w:rsidR="00E06E49" w:rsidRPr="00E06E49" w:rsidTr="00E06E49">
        <w:trPr>
          <w:tblCellSpacing w:w="0" w:type="dxa"/>
          <w:jc w:val="center"/>
        </w:trPr>
        <w:tc>
          <w:tcPr>
            <w:tcW w:w="0" w:type="auto"/>
            <w:hideMark/>
          </w:tcPr>
          <w:tbl>
            <w:tblPr>
              <w:tblW w:w="4600" w:type="pct"/>
              <w:jc w:val="center"/>
              <w:tblCellSpacing w:w="0" w:type="dxa"/>
              <w:tblCellMar>
                <w:left w:w="0" w:type="dxa"/>
                <w:right w:w="0" w:type="dxa"/>
              </w:tblCellMar>
              <w:tblLook w:val="04A0" w:firstRow="1" w:lastRow="0" w:firstColumn="1" w:lastColumn="0" w:noHBand="0" w:noVBand="1"/>
            </w:tblPr>
            <w:tblGrid>
              <w:gridCol w:w="7642"/>
            </w:tblGrid>
            <w:tr w:rsidR="00E06E49" w:rsidRPr="00E06E49">
              <w:trPr>
                <w:trHeight w:val="15"/>
                <w:tblCellSpacing w:w="0" w:type="dxa"/>
                <w:jc w:val="center"/>
              </w:trPr>
              <w:tc>
                <w:tcPr>
                  <w:tcW w:w="5000" w:type="pct"/>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642"/>
                  </w:tblGrid>
                  <w:tr w:rsidR="00E06E49" w:rsidRPr="00E06E49">
                    <w:trPr>
                      <w:tblCellSpacing w:w="0" w:type="dxa"/>
                      <w:jc w:val="center"/>
                    </w:trPr>
                    <w:tc>
                      <w:tcPr>
                        <w:tcW w:w="5000" w:type="pct"/>
                        <w:vAlign w:val="center"/>
                        <w:hideMark/>
                      </w:tcPr>
                      <w:p w:rsidR="00E06E49" w:rsidRPr="00E06E49" w:rsidRDefault="00E06E49" w:rsidP="00E06E49">
                        <w:pPr>
                          <w:widowControl/>
                          <w:spacing w:line="240" w:lineRule="auto"/>
                          <w:jc w:val="center"/>
                          <w:rPr>
                            <w:rFonts w:ascii="宋体" w:eastAsia="宋体" w:hAnsi="宋体" w:cs="宋体"/>
                            <w:kern w:val="0"/>
                            <w:szCs w:val="24"/>
                          </w:rPr>
                        </w:pPr>
                        <w:bookmarkStart w:id="0" w:name="_GoBack" w:colFirst="0" w:colLast="0"/>
                        <w:r w:rsidRPr="00E06E49">
                          <w:rPr>
                            <w:rFonts w:ascii="宋体" w:eastAsia="宋体" w:hAnsi="宋体" w:cs="宋体"/>
                            <w:kern w:val="0"/>
                            <w:sz w:val="18"/>
                            <w:szCs w:val="18"/>
                          </w:rPr>
                          <w:t>〖发布日期:2016-12-28〗〖作者:〗</w:t>
                        </w:r>
                      </w:p>
                      <w:p w:rsidR="00E06E49" w:rsidRPr="00E06E49" w:rsidRDefault="00E06E49" w:rsidP="00E06E49">
                        <w:pPr>
                          <w:widowControl/>
                          <w:spacing w:line="240" w:lineRule="auto"/>
                          <w:jc w:val="center"/>
                          <w:rPr>
                            <w:rFonts w:ascii="宋体" w:eastAsia="宋体" w:hAnsi="宋体" w:cs="宋体"/>
                            <w:kern w:val="0"/>
                            <w:szCs w:val="24"/>
                          </w:rPr>
                        </w:pPr>
                        <w:r w:rsidRPr="00E06E49">
                          <w:rPr>
                            <w:rFonts w:ascii="宋体" w:eastAsia="宋体" w:hAnsi="宋体" w:cs="宋体"/>
                            <w:kern w:val="0"/>
                            <w:szCs w:val="24"/>
                          </w:rPr>
                          <w:pict>
                            <v:rect id="_x0000_i1025" style="width:415.3pt;height:.75pt" o:hralign="center" o:hrstd="t" o:hrnoshade="t" o:hr="t" fillcolor="#036" stroked="f"/>
                          </w:pict>
                        </w:r>
                      </w:p>
                      <w:p w:rsidR="00E06E49" w:rsidRPr="00E06E49" w:rsidRDefault="00E06E49" w:rsidP="00E06E49">
                        <w:pPr>
                          <w:widowControl/>
                          <w:spacing w:after="240" w:line="240" w:lineRule="auto"/>
                          <w:jc w:val="center"/>
                          <w:rPr>
                            <w:rFonts w:ascii="宋体" w:eastAsia="宋体" w:hAnsi="宋体" w:cs="宋体"/>
                            <w:kern w:val="0"/>
                            <w:szCs w:val="24"/>
                          </w:rPr>
                        </w:pPr>
                        <w:r w:rsidRPr="00E06E49">
                          <w:rPr>
                            <w:rFonts w:ascii="宋体" w:eastAsia="宋体" w:hAnsi="宋体" w:cs="宋体" w:hint="eastAsia"/>
                            <w:color w:val="999999"/>
                            <w:kern w:val="0"/>
                            <w:sz w:val="18"/>
                            <w:szCs w:val="18"/>
                          </w:rPr>
                          <w:t>〖字体：</w:t>
                        </w:r>
                        <w:hyperlink r:id="rId4" w:history="1">
                          <w:r w:rsidRPr="00E06E49">
                            <w:rPr>
                              <w:rFonts w:ascii="宋体" w:eastAsia="宋体" w:hAnsi="宋体" w:cs="宋体" w:hint="eastAsia"/>
                              <w:color w:val="000000"/>
                              <w:kern w:val="0"/>
                              <w:szCs w:val="24"/>
                            </w:rPr>
                            <w:t>大</w:t>
                          </w:r>
                        </w:hyperlink>
                        <w:r w:rsidRPr="00E06E49">
                          <w:rPr>
                            <w:rFonts w:ascii="宋体" w:eastAsia="宋体" w:hAnsi="宋体" w:cs="宋体" w:hint="eastAsia"/>
                            <w:color w:val="999999"/>
                            <w:kern w:val="0"/>
                            <w:sz w:val="18"/>
                            <w:szCs w:val="18"/>
                          </w:rPr>
                          <w:t> </w:t>
                        </w:r>
                        <w:hyperlink r:id="rId5" w:history="1">
                          <w:r w:rsidRPr="00E06E49">
                            <w:rPr>
                              <w:rFonts w:ascii="宋体" w:eastAsia="宋体" w:hAnsi="宋体" w:cs="宋体" w:hint="eastAsia"/>
                              <w:color w:val="000000"/>
                              <w:kern w:val="0"/>
                              <w:sz w:val="21"/>
                              <w:szCs w:val="21"/>
                            </w:rPr>
                            <w:t>中</w:t>
                          </w:r>
                        </w:hyperlink>
                        <w:r w:rsidRPr="00E06E49">
                          <w:rPr>
                            <w:rFonts w:ascii="宋体" w:eastAsia="宋体" w:hAnsi="宋体" w:cs="宋体" w:hint="eastAsia"/>
                            <w:color w:val="999999"/>
                            <w:kern w:val="0"/>
                            <w:sz w:val="18"/>
                            <w:szCs w:val="18"/>
                          </w:rPr>
                          <w:t> </w:t>
                        </w:r>
                        <w:hyperlink r:id="rId6" w:history="1">
                          <w:r w:rsidRPr="00E06E49">
                            <w:rPr>
                              <w:rFonts w:ascii="宋体" w:eastAsia="宋体" w:hAnsi="宋体" w:cs="宋体"/>
                              <w:color w:val="000000"/>
                              <w:kern w:val="0"/>
                              <w:sz w:val="18"/>
                              <w:szCs w:val="18"/>
                            </w:rPr>
                            <w:t>小</w:t>
                          </w:r>
                        </w:hyperlink>
                        <w:r w:rsidRPr="00E06E49">
                          <w:rPr>
                            <w:rFonts w:ascii="宋体" w:eastAsia="宋体" w:hAnsi="宋体" w:cs="宋体" w:hint="eastAsia"/>
                            <w:color w:val="999999"/>
                            <w:kern w:val="0"/>
                            <w:sz w:val="18"/>
                            <w:szCs w:val="18"/>
                          </w:rPr>
                          <w:t>〗〖背景色： </w:t>
                        </w:r>
                        <w:r w:rsidRPr="00E06E49">
                          <w:rPr>
                            <w:rFonts w:ascii="宋体" w:eastAsia="宋体" w:hAnsi="宋体" w:cs="宋体"/>
                            <w:noProof/>
                            <w:color w:val="003366"/>
                            <w:kern w:val="0"/>
                            <w:sz w:val="21"/>
                            <w:szCs w:val="21"/>
                          </w:rPr>
                          <w:drawing>
                            <wp:inline distT="0" distB="0" distL="0" distR="0">
                              <wp:extent cx="95250" cy="95250"/>
                              <wp:effectExtent l="0" t="0" r="0" b="0"/>
                              <wp:docPr id="8" name="图片 8" descr="杏仁黄">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杏仁黄">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E06E49">
                          <w:rPr>
                            <w:rFonts w:ascii="宋体" w:eastAsia="宋体" w:hAnsi="宋体" w:cs="宋体" w:hint="eastAsia"/>
                            <w:color w:val="999999"/>
                            <w:kern w:val="0"/>
                            <w:sz w:val="18"/>
                            <w:szCs w:val="18"/>
                          </w:rPr>
                          <w:t> </w:t>
                        </w:r>
                        <w:r w:rsidRPr="00E06E49">
                          <w:rPr>
                            <w:rFonts w:ascii="宋体" w:eastAsia="宋体" w:hAnsi="宋体" w:cs="宋体"/>
                            <w:noProof/>
                            <w:color w:val="003366"/>
                            <w:kern w:val="0"/>
                            <w:sz w:val="21"/>
                            <w:szCs w:val="21"/>
                          </w:rPr>
                          <w:drawing>
                            <wp:inline distT="0" distB="0" distL="0" distR="0">
                              <wp:extent cx="95250" cy="95250"/>
                              <wp:effectExtent l="0" t="0" r="0" b="0"/>
                              <wp:docPr id="7" name="图片 7" descr="秋叶褐">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秋叶褐">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E06E49">
                          <w:rPr>
                            <w:rFonts w:ascii="宋体" w:eastAsia="宋体" w:hAnsi="宋体" w:cs="宋体" w:hint="eastAsia"/>
                            <w:color w:val="999999"/>
                            <w:kern w:val="0"/>
                            <w:sz w:val="18"/>
                            <w:szCs w:val="18"/>
                          </w:rPr>
                          <w:t> </w:t>
                        </w:r>
                        <w:r w:rsidRPr="00E06E49">
                          <w:rPr>
                            <w:rFonts w:ascii="宋体" w:eastAsia="宋体" w:hAnsi="宋体" w:cs="宋体"/>
                            <w:noProof/>
                            <w:color w:val="003366"/>
                            <w:kern w:val="0"/>
                            <w:sz w:val="21"/>
                            <w:szCs w:val="21"/>
                          </w:rPr>
                          <w:drawing>
                            <wp:inline distT="0" distB="0" distL="0" distR="0">
                              <wp:extent cx="95250" cy="95250"/>
                              <wp:effectExtent l="0" t="0" r="0" b="0"/>
                              <wp:docPr id="6" name="图片 6" descr="胭脂红">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胭脂红">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E06E49">
                          <w:rPr>
                            <w:rFonts w:ascii="宋体" w:eastAsia="宋体" w:hAnsi="宋体" w:cs="宋体" w:hint="eastAsia"/>
                            <w:color w:val="999999"/>
                            <w:kern w:val="0"/>
                            <w:sz w:val="18"/>
                            <w:szCs w:val="18"/>
                          </w:rPr>
                          <w:t> </w:t>
                        </w:r>
                        <w:r w:rsidRPr="00E06E49">
                          <w:rPr>
                            <w:rFonts w:ascii="宋体" w:eastAsia="宋体" w:hAnsi="宋体" w:cs="宋体"/>
                            <w:noProof/>
                            <w:color w:val="003366"/>
                            <w:kern w:val="0"/>
                            <w:sz w:val="21"/>
                            <w:szCs w:val="21"/>
                          </w:rPr>
                          <w:drawing>
                            <wp:inline distT="0" distB="0" distL="0" distR="0">
                              <wp:extent cx="95250" cy="95250"/>
                              <wp:effectExtent l="0" t="0" r="0" b="0"/>
                              <wp:docPr id="5" name="图片 5" descr="芥末绿">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芥末绿">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E06E49">
                          <w:rPr>
                            <w:rFonts w:ascii="宋体" w:eastAsia="宋体" w:hAnsi="宋体" w:cs="宋体" w:hint="eastAsia"/>
                            <w:color w:val="999999"/>
                            <w:kern w:val="0"/>
                            <w:sz w:val="18"/>
                            <w:szCs w:val="18"/>
                          </w:rPr>
                          <w:t> </w:t>
                        </w:r>
                        <w:r w:rsidRPr="00E06E49">
                          <w:rPr>
                            <w:rFonts w:ascii="宋体" w:eastAsia="宋体" w:hAnsi="宋体" w:cs="宋体"/>
                            <w:noProof/>
                            <w:color w:val="003366"/>
                            <w:kern w:val="0"/>
                            <w:sz w:val="21"/>
                            <w:szCs w:val="21"/>
                          </w:rPr>
                          <w:drawing>
                            <wp:inline distT="0" distB="0" distL="0" distR="0">
                              <wp:extent cx="95250" cy="95250"/>
                              <wp:effectExtent l="0" t="0" r="0" b="0"/>
                              <wp:docPr id="4" name="图片 4" descr="天蓝">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天蓝">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E06E49">
                          <w:rPr>
                            <w:rFonts w:ascii="宋体" w:eastAsia="宋体" w:hAnsi="宋体" w:cs="宋体" w:hint="eastAsia"/>
                            <w:color w:val="999999"/>
                            <w:kern w:val="0"/>
                            <w:sz w:val="18"/>
                            <w:szCs w:val="18"/>
                          </w:rPr>
                          <w:t> </w:t>
                        </w:r>
                        <w:r w:rsidRPr="00E06E49">
                          <w:rPr>
                            <w:rFonts w:ascii="宋体" w:eastAsia="宋体" w:hAnsi="宋体" w:cs="宋体"/>
                            <w:noProof/>
                            <w:color w:val="003366"/>
                            <w:kern w:val="0"/>
                            <w:sz w:val="21"/>
                            <w:szCs w:val="21"/>
                          </w:rPr>
                          <w:drawing>
                            <wp:inline distT="0" distB="0" distL="0" distR="0">
                              <wp:extent cx="95250" cy="95250"/>
                              <wp:effectExtent l="0" t="0" r="0" b="0"/>
                              <wp:docPr id="3" name="图片 3" descr="雪青">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雪青">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E06E49">
                          <w:rPr>
                            <w:rFonts w:ascii="宋体" w:eastAsia="宋体" w:hAnsi="宋体" w:cs="宋体" w:hint="eastAsia"/>
                            <w:color w:val="999999"/>
                            <w:kern w:val="0"/>
                            <w:sz w:val="18"/>
                            <w:szCs w:val="18"/>
                          </w:rPr>
                          <w:t> </w:t>
                        </w:r>
                        <w:r w:rsidRPr="00E06E49">
                          <w:rPr>
                            <w:rFonts w:ascii="宋体" w:eastAsia="宋体" w:hAnsi="宋体" w:cs="宋体"/>
                            <w:noProof/>
                            <w:color w:val="003366"/>
                            <w:kern w:val="0"/>
                            <w:sz w:val="21"/>
                            <w:szCs w:val="21"/>
                          </w:rPr>
                          <w:drawing>
                            <wp:inline distT="0" distB="0" distL="0" distR="0">
                              <wp:extent cx="95250" cy="95250"/>
                              <wp:effectExtent l="0" t="0" r="0" b="0"/>
                              <wp:docPr id="2" name="图片 2" descr="灰">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灰">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E06E49">
                          <w:rPr>
                            <w:rFonts w:ascii="宋体" w:eastAsia="宋体" w:hAnsi="宋体" w:cs="宋体" w:hint="eastAsia"/>
                            <w:color w:val="999999"/>
                            <w:kern w:val="0"/>
                            <w:sz w:val="18"/>
                            <w:szCs w:val="18"/>
                          </w:rPr>
                          <w:t> </w:t>
                        </w:r>
                        <w:r w:rsidRPr="00E06E49">
                          <w:rPr>
                            <w:rFonts w:ascii="宋体" w:eastAsia="宋体" w:hAnsi="宋体" w:cs="宋体"/>
                            <w:noProof/>
                            <w:color w:val="003366"/>
                            <w:kern w:val="0"/>
                            <w:sz w:val="21"/>
                            <w:szCs w:val="21"/>
                          </w:rPr>
                          <w:drawing>
                            <wp:inline distT="0" distB="0" distL="0" distR="0">
                              <wp:extent cx="95250" cy="95250"/>
                              <wp:effectExtent l="0" t="0" r="0" b="0"/>
                              <wp:docPr id="1" name="图片 1" descr="银河白(默认色)">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银河白(默认色)">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E06E49">
                          <w:rPr>
                            <w:rFonts w:ascii="宋体" w:eastAsia="宋体" w:hAnsi="宋体" w:cs="宋体" w:hint="eastAsia"/>
                            <w:color w:val="999999"/>
                            <w:kern w:val="0"/>
                            <w:sz w:val="18"/>
                            <w:szCs w:val="18"/>
                          </w:rPr>
                          <w:t>〗〖</w:t>
                        </w:r>
                        <w:hyperlink r:id="rId23" w:history="1">
                          <w:r w:rsidRPr="00E06E49">
                            <w:rPr>
                              <w:rFonts w:ascii="宋体" w:eastAsia="宋体" w:hAnsi="宋体" w:cs="宋体" w:hint="eastAsia"/>
                              <w:color w:val="000000"/>
                              <w:kern w:val="0"/>
                              <w:sz w:val="18"/>
                              <w:szCs w:val="18"/>
                            </w:rPr>
                            <w:t>打印本稿</w:t>
                          </w:r>
                        </w:hyperlink>
                        <w:r w:rsidRPr="00E06E49">
                          <w:rPr>
                            <w:rFonts w:ascii="宋体" w:eastAsia="宋体" w:hAnsi="宋体" w:cs="宋体" w:hint="eastAsia"/>
                            <w:color w:val="999999"/>
                            <w:kern w:val="0"/>
                            <w:sz w:val="18"/>
                            <w:szCs w:val="18"/>
                          </w:rPr>
                          <w:t>〗〖</w:t>
                        </w:r>
                        <w:hyperlink r:id="rId24" w:history="1">
                          <w:r w:rsidRPr="00E06E49">
                            <w:rPr>
                              <w:rFonts w:ascii="宋体" w:eastAsia="宋体" w:hAnsi="宋体" w:cs="宋体" w:hint="eastAsia"/>
                              <w:color w:val="000000"/>
                              <w:kern w:val="0"/>
                              <w:sz w:val="18"/>
                              <w:szCs w:val="18"/>
                            </w:rPr>
                            <w:t>关闭</w:t>
                          </w:r>
                        </w:hyperlink>
                        <w:r w:rsidRPr="00E06E49">
                          <w:rPr>
                            <w:rFonts w:ascii="宋体" w:eastAsia="宋体" w:hAnsi="宋体" w:cs="宋体" w:hint="eastAsia"/>
                            <w:color w:val="999999"/>
                            <w:kern w:val="0"/>
                            <w:sz w:val="18"/>
                            <w:szCs w:val="18"/>
                          </w:rPr>
                          <w:t>〗</w:t>
                        </w:r>
                        <w:r w:rsidRPr="00E06E49">
                          <w:rPr>
                            <w:rFonts w:ascii="宋体" w:eastAsia="宋体" w:hAnsi="宋体" w:cs="宋体"/>
                            <w:kern w:val="0"/>
                            <w:szCs w:val="24"/>
                          </w:rPr>
                          <w:br/>
                        </w:r>
                      </w:p>
                    </w:tc>
                  </w:tr>
                </w:tbl>
                <w:p w:rsidR="00E06E49" w:rsidRPr="00E06E49" w:rsidRDefault="00E06E49" w:rsidP="00E06E49">
                  <w:pPr>
                    <w:widowControl/>
                    <w:spacing w:line="240" w:lineRule="auto"/>
                    <w:jc w:val="center"/>
                    <w:rPr>
                      <w:rFonts w:ascii="宋体" w:eastAsia="宋体" w:hAnsi="宋体" w:cs="宋体"/>
                      <w:kern w:val="0"/>
                      <w:szCs w:val="24"/>
                    </w:rPr>
                  </w:pPr>
                </w:p>
              </w:tc>
            </w:tr>
            <w:tr w:rsidR="00E06E49" w:rsidRPr="00E06E49">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642"/>
                  </w:tblGrid>
                  <w:tr w:rsidR="00E06E49" w:rsidRPr="00E06E49">
                    <w:trPr>
                      <w:trHeight w:val="375"/>
                      <w:tblCellSpacing w:w="0" w:type="dxa"/>
                      <w:jc w:val="center"/>
                    </w:trPr>
                    <w:tc>
                      <w:tcPr>
                        <w:tcW w:w="0" w:type="auto"/>
                        <w:vAlign w:val="center"/>
                        <w:hideMark/>
                      </w:tcPr>
                      <w:p w:rsidR="00E06E49" w:rsidRPr="00E06E49" w:rsidRDefault="00E06E49" w:rsidP="00E06E49">
                        <w:pPr>
                          <w:widowControl/>
                          <w:spacing w:line="240" w:lineRule="auto"/>
                          <w:jc w:val="center"/>
                          <w:rPr>
                            <w:rFonts w:ascii="Times New Roman" w:eastAsia="Times New Roman" w:hAnsi="Times New Roman" w:cs="Times New Roman"/>
                            <w:kern w:val="0"/>
                            <w:sz w:val="20"/>
                            <w:szCs w:val="20"/>
                          </w:rPr>
                        </w:pPr>
                      </w:p>
                    </w:tc>
                  </w:tr>
                  <w:tr w:rsidR="00E06E49" w:rsidRPr="00E06E49">
                    <w:trPr>
                      <w:trHeight w:val="375"/>
                      <w:tblCellSpacing w:w="0" w:type="dxa"/>
                      <w:jc w:val="center"/>
                    </w:trPr>
                    <w:tc>
                      <w:tcPr>
                        <w:tcW w:w="0" w:type="auto"/>
                        <w:vAlign w:val="center"/>
                        <w:hideMark/>
                      </w:tcPr>
                      <w:tbl>
                        <w:tblPr>
                          <w:tblW w:w="4500" w:type="pct"/>
                          <w:jc w:val="center"/>
                          <w:tblCellSpacing w:w="0" w:type="dxa"/>
                          <w:tblCellMar>
                            <w:left w:w="0" w:type="dxa"/>
                            <w:right w:w="0" w:type="dxa"/>
                          </w:tblCellMar>
                          <w:tblLook w:val="04A0" w:firstRow="1" w:lastRow="0" w:firstColumn="1" w:lastColumn="0" w:noHBand="0" w:noVBand="1"/>
                        </w:tblPr>
                        <w:tblGrid>
                          <w:gridCol w:w="6878"/>
                        </w:tblGrid>
                        <w:tr w:rsidR="00E06E49" w:rsidRPr="00E06E49">
                          <w:trPr>
                            <w:tblCellSpacing w:w="0" w:type="dxa"/>
                            <w:jc w:val="center"/>
                          </w:trPr>
                          <w:tc>
                            <w:tcPr>
                              <w:tcW w:w="5000" w:type="pct"/>
                              <w:vAlign w:val="center"/>
                              <w:hideMark/>
                            </w:tcPr>
                            <w:p w:rsidR="00E06E49" w:rsidRPr="00E06E49" w:rsidRDefault="00E06E49" w:rsidP="00E06E49">
                              <w:pPr>
                                <w:widowControl/>
                                <w:wordWrap w:val="0"/>
                                <w:spacing w:before="100" w:beforeAutospacing="1" w:after="100" w:afterAutospacing="1" w:line="560" w:lineRule="atLeast"/>
                                <w:ind w:firstLine="640"/>
                                <w:jc w:val="left"/>
                                <w:rPr>
                                  <w:rFonts w:ascii="宋体" w:eastAsia="宋体" w:hAnsi="宋体" w:cs="宋体"/>
                                  <w:kern w:val="0"/>
                                  <w:szCs w:val="24"/>
                                </w:rPr>
                              </w:pPr>
                              <w:r w:rsidRPr="00E06E49">
                                <w:rPr>
                                  <w:rFonts w:ascii="宋体" w:eastAsia="宋体" w:hAnsi="宋体" w:cs="宋体"/>
                                  <w:kern w:val="0"/>
                                  <w:sz w:val="28"/>
                                  <w:szCs w:val="28"/>
                                </w:rPr>
                                <w:t>第一条 为鼓励在科学技术活动中做出突出贡献的公民、组织，调动广大科学技术工作者的积极性和创造性，加速推进我盟科学技术事业发展，根据《内蒙古自治区科学技术奖励办法》，结合我盟实际，制定本办法。 </w:t>
                              </w:r>
                              <w:r w:rsidRPr="00E06E49">
                                <w:rPr>
                                  <w:rFonts w:ascii="宋体" w:eastAsia="宋体" w:hAnsi="宋体" w:cs="宋体"/>
                                  <w:kern w:val="0"/>
                                  <w:sz w:val="28"/>
                                  <w:szCs w:val="28"/>
                                </w:rPr>
                                <w:br/>
                                <w:t>    第二条 盟行政公署设立锡林郭勒盟科学技术进步奖。 </w:t>
                              </w:r>
                              <w:r w:rsidRPr="00E06E49">
                                <w:rPr>
                                  <w:rFonts w:ascii="宋体" w:eastAsia="宋体" w:hAnsi="宋体" w:cs="宋体"/>
                                  <w:kern w:val="0"/>
                                  <w:sz w:val="28"/>
                                  <w:szCs w:val="28"/>
                                </w:rPr>
                                <w:br/>
                                <w:t>    第三条 盟科学技术进步奖的推荐、评审、授予遵循公开、公平、公正的原则，接受社会监督，任何组织和个人不得干涉。 </w:t>
                              </w:r>
                              <w:r w:rsidRPr="00E06E49">
                                <w:rPr>
                                  <w:rFonts w:ascii="宋体" w:eastAsia="宋体" w:hAnsi="宋体" w:cs="宋体"/>
                                  <w:kern w:val="0"/>
                                  <w:sz w:val="28"/>
                                  <w:szCs w:val="28"/>
                                </w:rPr>
                                <w:br/>
                                <w:t>    第四条 盟科学技术进步奖是授予公民、组织的荣誉，获奖证书不作为确定科学技术成果权属的依据。 </w:t>
                              </w:r>
                              <w:r w:rsidRPr="00E06E49">
                                <w:rPr>
                                  <w:rFonts w:ascii="宋体" w:eastAsia="宋体" w:hAnsi="宋体" w:cs="宋体"/>
                                  <w:kern w:val="0"/>
                                  <w:sz w:val="28"/>
                                  <w:szCs w:val="28"/>
                                </w:rPr>
                                <w:br/>
                                <w:t>    在科学技术活动中从事组织管理和辅助服务的工作人员不作为科学技术进步奖的候选人。 </w:t>
                              </w:r>
                              <w:r w:rsidRPr="00E06E49">
                                <w:rPr>
                                  <w:rFonts w:ascii="宋体" w:eastAsia="宋体" w:hAnsi="宋体" w:cs="宋体"/>
                                  <w:kern w:val="0"/>
                                  <w:sz w:val="28"/>
                                  <w:szCs w:val="28"/>
                                </w:rPr>
                                <w:br/>
                                <w:t>    科学技术进步奖原则上不授予各级行政部门。 </w:t>
                              </w:r>
                              <w:r w:rsidRPr="00E06E49">
                                <w:rPr>
                                  <w:rFonts w:ascii="宋体" w:eastAsia="宋体" w:hAnsi="宋体" w:cs="宋体"/>
                                  <w:kern w:val="0"/>
                                  <w:sz w:val="28"/>
                                  <w:szCs w:val="28"/>
                                </w:rPr>
                                <w:br/>
                              </w:r>
                              <w:r w:rsidRPr="00E06E49">
                                <w:rPr>
                                  <w:rFonts w:ascii="宋体" w:eastAsia="宋体" w:hAnsi="宋体" w:cs="宋体"/>
                                  <w:kern w:val="0"/>
                                  <w:sz w:val="28"/>
                                  <w:szCs w:val="28"/>
                                </w:rPr>
                                <w:lastRenderedPageBreak/>
                                <w:t>    第五条盟行政公署设立科学技术进步奖评审委员会，评审委员会下设办公室，办公室设在盟科技行政主管部门。 </w:t>
                              </w:r>
                              <w:r w:rsidRPr="00E06E49">
                                <w:rPr>
                                  <w:rFonts w:ascii="宋体" w:eastAsia="宋体" w:hAnsi="宋体" w:cs="宋体"/>
                                  <w:kern w:val="0"/>
                                  <w:sz w:val="28"/>
                                  <w:szCs w:val="28"/>
                                </w:rPr>
                                <w:br/>
                                <w:t>    评审委员会负责科学技术进步奖的评审工作。评审委员会的组成人选由盟科技行政主管部门提出，报盟行政公署批准。委员会由不少于13人的专家和有关部门代表组成，其中具有高级专业技术职称的人员不得少于2／3。 </w:t>
                              </w:r>
                              <w:r w:rsidRPr="00E06E49">
                                <w:rPr>
                                  <w:rFonts w:ascii="宋体" w:eastAsia="宋体" w:hAnsi="宋体" w:cs="宋体"/>
                                  <w:kern w:val="0"/>
                                  <w:sz w:val="28"/>
                                  <w:szCs w:val="28"/>
                                </w:rPr>
                                <w:br/>
                                <w:t>    第六条 科学技术进步奖授予在技术发明、技术开发、高新技术产业化、新技术推广、社会公益和软科学等方面为锡林郭勒科学技术进步做出贡献，推动经济、社会发展，经科技评价或者取得行业准入证明等，并应用一年以上的科学技术成果。 </w:t>
                              </w:r>
                              <w:r w:rsidRPr="00E06E49">
                                <w:rPr>
                                  <w:rFonts w:ascii="宋体" w:eastAsia="宋体" w:hAnsi="宋体" w:cs="宋体"/>
                                  <w:kern w:val="0"/>
                                  <w:sz w:val="28"/>
                                  <w:szCs w:val="28"/>
                                </w:rPr>
                                <w:br/>
                                <w:t>    (一) 运用科技知识研究开发出具有自主知识产权，并经过实施取得一定经济或社会效益的产品、工艺、材料等； </w:t>
                              </w:r>
                              <w:r w:rsidRPr="00E06E49">
                                <w:rPr>
                                  <w:rFonts w:ascii="宋体" w:eastAsia="宋体" w:hAnsi="宋体" w:cs="宋体"/>
                                  <w:kern w:val="0"/>
                                  <w:sz w:val="28"/>
                                  <w:szCs w:val="28"/>
                                </w:rPr>
                                <w:br/>
                                <w:t>    (二) 运用已有知识、技术集成创新开发出新产品、新工艺、新装备、新设计的； </w:t>
                              </w:r>
                              <w:r w:rsidRPr="00E06E49">
                                <w:rPr>
                                  <w:rFonts w:ascii="宋体" w:eastAsia="宋体" w:hAnsi="宋体" w:cs="宋体"/>
                                  <w:kern w:val="0"/>
                                  <w:sz w:val="28"/>
                                  <w:szCs w:val="28"/>
                                </w:rPr>
                                <w:br/>
                                <w:t>    (三) 推动产业结构的优化调整，带动经济持续快速发展，增强企业创新能力，提高企业市场竞争力的高新技术产业、产品的； </w:t>
                              </w:r>
                              <w:r w:rsidRPr="00E06E49">
                                <w:rPr>
                                  <w:rFonts w:ascii="宋体" w:eastAsia="宋体" w:hAnsi="宋体" w:cs="宋体"/>
                                  <w:kern w:val="0"/>
                                  <w:sz w:val="28"/>
                                  <w:szCs w:val="28"/>
                                </w:rPr>
                                <w:br/>
                                <w:t>    (四) 在引进推广已有科学技术成果中，自主完</w:t>
                              </w:r>
                              <w:r w:rsidRPr="00E06E49">
                                <w:rPr>
                                  <w:rFonts w:ascii="宋体" w:eastAsia="宋体" w:hAnsi="宋体" w:cs="宋体"/>
                                  <w:kern w:val="0"/>
                                  <w:sz w:val="28"/>
                                  <w:szCs w:val="28"/>
                                </w:rPr>
                                <w:lastRenderedPageBreak/>
                                <w:t>成消化吸收并在技术改造、产品升级等环节有创新，推广面积大，取得一定经济或社会效益的； </w:t>
                              </w:r>
                              <w:r w:rsidRPr="00E06E49">
                                <w:rPr>
                                  <w:rFonts w:ascii="宋体" w:eastAsia="宋体" w:hAnsi="宋体" w:cs="宋体"/>
                                  <w:kern w:val="0"/>
                                  <w:sz w:val="28"/>
                                  <w:szCs w:val="28"/>
                                </w:rPr>
                                <w:br/>
                                <w:t>    (五) 在标准、计量、科技信息、医疗卫生、自然资源调查等社会公益性工作中为促进社会进步取得一定社会效益的； </w:t>
                              </w:r>
                              <w:r w:rsidRPr="00E06E49">
                                <w:rPr>
                                  <w:rFonts w:ascii="宋体" w:eastAsia="宋体" w:hAnsi="宋体" w:cs="宋体"/>
                                  <w:kern w:val="0"/>
                                  <w:sz w:val="28"/>
                                  <w:szCs w:val="28"/>
                                </w:rPr>
                                <w:br/>
                                <w:t>    (六) 在软科学项目实施中，为解决各类复杂社会问题提出可供选择的各种途径、方案、措施或对策，对相关部门重大决策或科学管理产生的一定作用和影响的； </w:t>
                              </w:r>
                              <w:r w:rsidRPr="00E06E49">
                                <w:rPr>
                                  <w:rFonts w:ascii="宋体" w:eastAsia="宋体" w:hAnsi="宋体" w:cs="宋体"/>
                                  <w:kern w:val="0"/>
                                  <w:sz w:val="28"/>
                                  <w:szCs w:val="28"/>
                                </w:rPr>
                                <w:br/>
                                <w:t>   （七）工人、农牧民在技术革新、技术引进和产业化方面取得成果，经应用创造了一定的经济、社会效益的。 </w:t>
                              </w:r>
                              <w:r w:rsidRPr="00E06E49">
                                <w:rPr>
                                  <w:rFonts w:ascii="宋体" w:eastAsia="宋体" w:hAnsi="宋体" w:cs="宋体"/>
                                  <w:kern w:val="0"/>
                                  <w:sz w:val="28"/>
                                  <w:szCs w:val="28"/>
                                </w:rPr>
                                <w:br/>
                                <w:t>    第七条 科学技术进步奖按推荐成果的创新性、先进性、成熟性和取得的经济社会效益进行综合评价。 </w:t>
                              </w:r>
                              <w:r w:rsidRPr="00E06E49">
                                <w:rPr>
                                  <w:rFonts w:ascii="宋体" w:eastAsia="宋体" w:hAnsi="宋体" w:cs="宋体"/>
                                  <w:kern w:val="0"/>
                                  <w:sz w:val="28"/>
                                  <w:szCs w:val="28"/>
                                </w:rPr>
                                <w:br/>
                                <w:t>    （一）对技术思路独特，其核心技术取得自主知识产权，主要技术经济指标优于区内同类技术水平，推动了相关领域的技术进步，产生了显著经济、社会效益的科技成果可评为一等奖；产生了明显经济、社会效益的可评为二等奖；产生了较好经济、社会效益的可评为三等奖。 </w:t>
                              </w:r>
                              <w:r w:rsidRPr="00E06E49">
                                <w:rPr>
                                  <w:rFonts w:ascii="宋体" w:eastAsia="宋体" w:hAnsi="宋体" w:cs="宋体"/>
                                  <w:kern w:val="0"/>
                                  <w:sz w:val="28"/>
                                  <w:szCs w:val="28"/>
                                </w:rPr>
                                <w:br/>
                                <w:t>    （二）对在技术集成创新、新技术引进推广等方</w:t>
                              </w:r>
                              <w:r w:rsidRPr="00E06E49">
                                <w:rPr>
                                  <w:rFonts w:ascii="宋体" w:eastAsia="宋体" w:hAnsi="宋体" w:cs="宋体"/>
                                  <w:kern w:val="0"/>
                                  <w:sz w:val="28"/>
                                  <w:szCs w:val="28"/>
                                </w:rPr>
                                <w:lastRenderedPageBreak/>
                                <w:t>面有重大创新，主要经济技术指标达到区内同类水平，且转化程度高，创造了重大经济、社会效益，对行业技术进步和产业结构优化升级有重大作用的，可评为一等奖；有较大改进或创新，主要技术经济指标接近区内同类水平，取得显著经济、社会效益的可评为二等奖；有改进或创新，主要经济、技术指标超出盟内同类水平，取得明显的经济、社会效益的，可评为三等奖。 </w:t>
                              </w:r>
                              <w:r w:rsidRPr="00E06E49">
                                <w:rPr>
                                  <w:rFonts w:ascii="宋体" w:eastAsia="宋体" w:hAnsi="宋体" w:cs="宋体"/>
                                  <w:kern w:val="0"/>
                                  <w:sz w:val="28"/>
                                  <w:szCs w:val="28"/>
                                </w:rPr>
                                <w:br/>
                                <w:t>    （三）对成果有重大创新、难度大、方法有突破，并在行业内得到广泛认可及应用，取得重大社会效益，对科技发展和社会进步有重大作用的社会公益类成果可评为一等奖；有较大创新、难度大，方法上有突破，行业内得到承认及应用，取得较大社会效益的，可评为二等奖；有创新、难度大，方法上有改进，并在行业内得到应用，取得明显社会效益的，可评为三等奖。 </w:t>
                              </w:r>
                              <w:r w:rsidRPr="00E06E49">
                                <w:rPr>
                                  <w:rFonts w:ascii="宋体" w:eastAsia="宋体" w:hAnsi="宋体" w:cs="宋体"/>
                                  <w:kern w:val="0"/>
                                  <w:sz w:val="28"/>
                                  <w:szCs w:val="28"/>
                                </w:rPr>
                                <w:br/>
                                <w:t>    第八条 科学技术进步奖每两年评审一次，分设一等奖、二等奖、三等奖三个等级，奖励项目数不超过20项。 </w:t>
                              </w:r>
                              <w:r w:rsidRPr="00E06E49">
                                <w:rPr>
                                  <w:rFonts w:ascii="宋体" w:eastAsia="宋体" w:hAnsi="宋体" w:cs="宋体"/>
                                  <w:kern w:val="0"/>
                                  <w:sz w:val="28"/>
                                  <w:szCs w:val="28"/>
                                </w:rPr>
                                <w:br/>
                                <w:t>    一等奖项目每项奖励人数不超过7人，二等奖不超过5人，三等奖不超过3人。 </w:t>
                              </w:r>
                              <w:r w:rsidRPr="00E06E49">
                                <w:rPr>
                                  <w:rFonts w:ascii="宋体" w:eastAsia="宋体" w:hAnsi="宋体" w:cs="宋体"/>
                                  <w:kern w:val="0"/>
                                  <w:sz w:val="28"/>
                                  <w:szCs w:val="28"/>
                                </w:rPr>
                                <w:br/>
                                <w:t>    第九条 申报盟科学技术进步奖需提供下列材料： </w:t>
                              </w:r>
                              <w:r w:rsidRPr="00E06E49">
                                <w:rPr>
                                  <w:rFonts w:ascii="宋体" w:eastAsia="宋体" w:hAnsi="宋体" w:cs="宋体"/>
                                  <w:kern w:val="0"/>
                                  <w:sz w:val="28"/>
                                  <w:szCs w:val="28"/>
                                </w:rPr>
                                <w:br/>
                              </w:r>
                              <w:r w:rsidRPr="00E06E49">
                                <w:rPr>
                                  <w:rFonts w:ascii="宋体" w:eastAsia="宋体" w:hAnsi="宋体" w:cs="宋体"/>
                                  <w:kern w:val="0"/>
                                  <w:sz w:val="28"/>
                                  <w:szCs w:val="28"/>
                                </w:rPr>
                                <w:lastRenderedPageBreak/>
                                <w:t>    （一） 科学技术进步奖申报书； </w:t>
                              </w:r>
                              <w:r w:rsidRPr="00E06E49">
                                <w:rPr>
                                  <w:rFonts w:ascii="宋体" w:eastAsia="宋体" w:hAnsi="宋体" w:cs="宋体"/>
                                  <w:kern w:val="0"/>
                                  <w:sz w:val="28"/>
                                  <w:szCs w:val="28"/>
                                </w:rPr>
                                <w:br/>
                                <w:t>    （二） 工作总结； </w:t>
                              </w:r>
                              <w:r w:rsidRPr="00E06E49">
                                <w:rPr>
                                  <w:rFonts w:ascii="宋体" w:eastAsia="宋体" w:hAnsi="宋体" w:cs="宋体"/>
                                  <w:kern w:val="0"/>
                                  <w:sz w:val="28"/>
                                  <w:szCs w:val="28"/>
                                </w:rPr>
                                <w:br/>
                                <w:t>    （三） 技术报告； </w:t>
                              </w:r>
                              <w:r w:rsidRPr="00E06E49">
                                <w:rPr>
                                  <w:rFonts w:ascii="宋体" w:eastAsia="宋体" w:hAnsi="宋体" w:cs="宋体"/>
                                  <w:kern w:val="0"/>
                                  <w:sz w:val="28"/>
                                  <w:szCs w:val="28"/>
                                </w:rPr>
                                <w:br/>
                                <w:t>    （四） 经济效益分析报告； </w:t>
                              </w:r>
                              <w:r w:rsidRPr="00E06E49">
                                <w:rPr>
                                  <w:rFonts w:ascii="宋体" w:eastAsia="宋体" w:hAnsi="宋体" w:cs="宋体"/>
                                  <w:kern w:val="0"/>
                                  <w:sz w:val="28"/>
                                  <w:szCs w:val="28"/>
                                </w:rPr>
                                <w:br/>
                                <w:t>    （五） 应用证明、经济效益证明、验收报告、成果鉴定、检验或检测报告、技术评价、专利证书、发表论文（著）、临床病例等附件； </w:t>
                              </w:r>
                              <w:r w:rsidRPr="00E06E49">
                                <w:rPr>
                                  <w:rFonts w:ascii="宋体" w:eastAsia="宋体" w:hAnsi="宋体" w:cs="宋体"/>
                                  <w:kern w:val="0"/>
                                  <w:sz w:val="28"/>
                                  <w:szCs w:val="28"/>
                                </w:rPr>
                                <w:br/>
                                <w:t>    （六） 其他需要提供的材料。 </w:t>
                              </w:r>
                              <w:r w:rsidRPr="00E06E49">
                                <w:rPr>
                                  <w:rFonts w:ascii="宋体" w:eastAsia="宋体" w:hAnsi="宋体" w:cs="宋体"/>
                                  <w:kern w:val="0"/>
                                  <w:sz w:val="28"/>
                                  <w:szCs w:val="28"/>
                                </w:rPr>
                                <w:br/>
                                <w:t>    申报科学技术进步奖候选项目必须是经过一年以上应用的成果。 </w:t>
                              </w:r>
                              <w:r w:rsidRPr="00E06E49">
                                <w:rPr>
                                  <w:rFonts w:ascii="宋体" w:eastAsia="宋体" w:hAnsi="宋体" w:cs="宋体"/>
                                  <w:kern w:val="0"/>
                                  <w:sz w:val="28"/>
                                  <w:szCs w:val="28"/>
                                </w:rPr>
                                <w:br/>
                                <w:t>    第十条 下列组织可以推荐科学技术进步奖的候选项目： </w:t>
                              </w:r>
                              <w:r w:rsidRPr="00E06E49">
                                <w:rPr>
                                  <w:rFonts w:ascii="宋体" w:eastAsia="宋体" w:hAnsi="宋体" w:cs="宋体"/>
                                  <w:kern w:val="0"/>
                                  <w:sz w:val="28"/>
                                  <w:szCs w:val="28"/>
                                </w:rPr>
                                <w:br/>
                                <w:t>    （一）盟行政公署有关组成部门、直属机构； </w:t>
                              </w:r>
                              <w:r w:rsidRPr="00E06E49">
                                <w:rPr>
                                  <w:rFonts w:ascii="宋体" w:eastAsia="宋体" w:hAnsi="宋体" w:cs="宋体"/>
                                  <w:kern w:val="0"/>
                                  <w:sz w:val="28"/>
                                  <w:szCs w:val="28"/>
                                </w:rPr>
                                <w:br/>
                                <w:t>    （二）各旗县市（区）人民政府科技行政主管部门； </w:t>
                              </w:r>
                              <w:r w:rsidRPr="00E06E49">
                                <w:rPr>
                                  <w:rFonts w:ascii="宋体" w:eastAsia="宋体" w:hAnsi="宋体" w:cs="宋体"/>
                                  <w:kern w:val="0"/>
                                  <w:sz w:val="28"/>
                                  <w:szCs w:val="28"/>
                                </w:rPr>
                                <w:br/>
                                <w:t>    （三）高等院校。 </w:t>
                              </w:r>
                              <w:r w:rsidRPr="00E06E49">
                                <w:rPr>
                                  <w:rFonts w:ascii="宋体" w:eastAsia="宋体" w:hAnsi="宋体" w:cs="宋体"/>
                                  <w:kern w:val="0"/>
                                  <w:sz w:val="28"/>
                                  <w:szCs w:val="28"/>
                                </w:rPr>
                                <w:br/>
                                <w:t>    各有关推荐单位应当对申报材料、候选人进行严格评审，未直接参与项目的人员不能作为候选项目的完成人申报盟科学技术进步奖。 </w:t>
                              </w:r>
                              <w:r w:rsidRPr="00E06E49">
                                <w:rPr>
                                  <w:rFonts w:ascii="宋体" w:eastAsia="宋体" w:hAnsi="宋体" w:cs="宋体"/>
                                  <w:kern w:val="0"/>
                                  <w:sz w:val="28"/>
                                  <w:szCs w:val="28"/>
                                </w:rPr>
                                <w:br/>
                                <w:t>    第十一条 有下列情形之一的，不得申报科学技术奖： </w:t>
                              </w:r>
                              <w:r w:rsidRPr="00E06E49">
                                <w:rPr>
                                  <w:rFonts w:ascii="宋体" w:eastAsia="宋体" w:hAnsi="宋体" w:cs="宋体"/>
                                  <w:kern w:val="0"/>
                                  <w:sz w:val="28"/>
                                  <w:szCs w:val="28"/>
                                </w:rPr>
                                <w:br/>
                                <w:t>    （一） 由于国家安全或保密原因不能公开的成</w:t>
                              </w:r>
                              <w:r w:rsidRPr="00E06E49">
                                <w:rPr>
                                  <w:rFonts w:ascii="宋体" w:eastAsia="宋体" w:hAnsi="宋体" w:cs="宋体"/>
                                  <w:kern w:val="0"/>
                                  <w:sz w:val="28"/>
                                  <w:szCs w:val="28"/>
                                </w:rPr>
                                <w:lastRenderedPageBreak/>
                                <w:t>果； </w:t>
                              </w:r>
                              <w:r w:rsidRPr="00E06E49">
                                <w:rPr>
                                  <w:rFonts w:ascii="宋体" w:eastAsia="宋体" w:hAnsi="宋体" w:cs="宋体"/>
                                  <w:kern w:val="0"/>
                                  <w:sz w:val="28"/>
                                  <w:szCs w:val="28"/>
                                </w:rPr>
                                <w:br/>
                                <w:t>    （二） 在科技成果权属方面有争议，尚未解决的； </w:t>
                              </w:r>
                              <w:r w:rsidRPr="00E06E49">
                                <w:rPr>
                                  <w:rFonts w:ascii="宋体" w:eastAsia="宋体" w:hAnsi="宋体" w:cs="宋体"/>
                                  <w:kern w:val="0"/>
                                  <w:sz w:val="28"/>
                                  <w:szCs w:val="28"/>
                                </w:rPr>
                                <w:br/>
                                <w:t>    （三） 有直接关系人身安全、社会安全和公共利益的项目； </w:t>
                              </w:r>
                              <w:r w:rsidRPr="00E06E49">
                                <w:rPr>
                                  <w:rFonts w:ascii="宋体" w:eastAsia="宋体" w:hAnsi="宋体" w:cs="宋体"/>
                                  <w:kern w:val="0"/>
                                  <w:sz w:val="28"/>
                                  <w:szCs w:val="28"/>
                                </w:rPr>
                                <w:br/>
                                <w:t>    （四） 法律、行政法规规定必须取得有关许可证而没有取得的。 </w:t>
                              </w:r>
                              <w:r w:rsidRPr="00E06E49">
                                <w:rPr>
                                  <w:rFonts w:ascii="宋体" w:eastAsia="宋体" w:hAnsi="宋体" w:cs="宋体"/>
                                  <w:kern w:val="0"/>
                                  <w:sz w:val="28"/>
                                  <w:szCs w:val="28"/>
                                </w:rPr>
                                <w:br/>
                                <w:t>    第十二条 盟科技行政主管部门根据不同候选项目评审需要，分别组成若干专家组和评审委员会，对候选项目进行初评和复评。 </w:t>
                              </w:r>
                              <w:r w:rsidRPr="00E06E49">
                                <w:rPr>
                                  <w:rFonts w:ascii="宋体" w:eastAsia="宋体" w:hAnsi="宋体" w:cs="宋体"/>
                                  <w:kern w:val="0"/>
                                  <w:sz w:val="28"/>
                                  <w:szCs w:val="28"/>
                                </w:rPr>
                                <w:br/>
                                <w:t>    第十三条 评审委员会评审通过的科学技术进步奖获奖人员和项目，应当在媒体上进行公示。对获奖人员和项目有异议的，自公示之日起15日内向盟科学技术评审委员会办公室提出书面署名异议材料。 </w:t>
                              </w:r>
                              <w:r w:rsidRPr="00E06E49">
                                <w:rPr>
                                  <w:rFonts w:ascii="宋体" w:eastAsia="宋体" w:hAnsi="宋体" w:cs="宋体"/>
                                  <w:kern w:val="0"/>
                                  <w:sz w:val="28"/>
                                  <w:szCs w:val="28"/>
                                </w:rPr>
                                <w:br/>
                                <w:t>    第十四条 科学技术进步奖由锡林郭勒盟行政公署颁发奖励证书和奖金，一等奖奖金10万元/项、二等奖奖金8万元/项、三等奖奖金5万元/项。 </w:t>
                              </w:r>
                              <w:r w:rsidRPr="00E06E49">
                                <w:rPr>
                                  <w:rFonts w:ascii="宋体" w:eastAsia="宋体" w:hAnsi="宋体" w:cs="宋体"/>
                                  <w:kern w:val="0"/>
                                  <w:sz w:val="28"/>
                                  <w:szCs w:val="28"/>
                                </w:rPr>
                                <w:br/>
                                <w:t>    第十五条 盟科学技术进步奖所需奖励费用，由盟级财政列支，科学技术进步奖的奖金按照奖励年度列支150万元。 </w:t>
                              </w:r>
                              <w:r w:rsidRPr="00E06E49">
                                <w:rPr>
                                  <w:rFonts w:ascii="宋体" w:eastAsia="宋体" w:hAnsi="宋体" w:cs="宋体"/>
                                  <w:kern w:val="0"/>
                                  <w:sz w:val="28"/>
                                  <w:szCs w:val="28"/>
                                </w:rPr>
                                <w:br/>
                                <w:t>    第十六条 剽窃、侵夺他人成果，或者以其他不正当手段取得科学技术进步奖励的，由盟科学技术进步</w:t>
                              </w:r>
                              <w:r w:rsidRPr="00E06E49">
                                <w:rPr>
                                  <w:rFonts w:ascii="宋体" w:eastAsia="宋体" w:hAnsi="宋体" w:cs="宋体"/>
                                  <w:kern w:val="0"/>
                                  <w:sz w:val="28"/>
                                  <w:szCs w:val="28"/>
                                </w:rPr>
                                <w:lastRenderedPageBreak/>
                                <w:t>奖评审委员会报请盟行政公署批准后撤销其奖励，并追回证书奖金。 </w:t>
                              </w:r>
                              <w:r w:rsidRPr="00E06E49">
                                <w:rPr>
                                  <w:rFonts w:ascii="宋体" w:eastAsia="宋体" w:hAnsi="宋体" w:cs="宋体"/>
                                  <w:kern w:val="0"/>
                                  <w:sz w:val="28"/>
                                  <w:szCs w:val="28"/>
                                </w:rPr>
                                <w:br/>
                                <w:t>    第十七条 推荐单位提供虚假数据、材料，胁迫他人骗取科学技术进步奖励的，由盟科学技术行政部门通报批评，情节严重的，暂停或者取消其推荐资格。 </w:t>
                              </w:r>
                              <w:r w:rsidRPr="00E06E49">
                                <w:rPr>
                                  <w:rFonts w:ascii="宋体" w:eastAsia="宋体" w:hAnsi="宋体" w:cs="宋体"/>
                                  <w:kern w:val="0"/>
                                  <w:sz w:val="28"/>
                                  <w:szCs w:val="28"/>
                                </w:rPr>
                                <w:br/>
                                <w:t>    第十八条 参与盟科学技术进步奖评审活动的有关工作人员，在评审活动中弄虚作假、徇私舞弊的，依法给予行政处分。 </w:t>
                              </w:r>
                              <w:r w:rsidRPr="00E06E49">
                                <w:rPr>
                                  <w:rFonts w:ascii="宋体" w:eastAsia="宋体" w:hAnsi="宋体" w:cs="宋体"/>
                                  <w:kern w:val="0"/>
                                  <w:sz w:val="28"/>
                                  <w:szCs w:val="28"/>
                                </w:rPr>
                                <w:br/>
                                <w:t>    第十九条 盟行政公署所属各委、办、局及旗县市（区）不设立科学技术奖。 </w:t>
                              </w:r>
                              <w:r w:rsidRPr="00E06E49">
                                <w:rPr>
                                  <w:rFonts w:ascii="宋体" w:eastAsia="宋体" w:hAnsi="宋体" w:cs="宋体"/>
                                  <w:kern w:val="0"/>
                                  <w:sz w:val="28"/>
                                  <w:szCs w:val="28"/>
                                </w:rPr>
                                <w:br/>
                                <w:t>    第二十条 办法未尽事宜，依照《国家科学技术奖励条例》和《内蒙古自治区科学技术奖励办法》的规定执行。 </w:t>
                              </w:r>
                              <w:r w:rsidRPr="00E06E49">
                                <w:rPr>
                                  <w:rFonts w:ascii="宋体" w:eastAsia="宋体" w:hAnsi="宋体" w:cs="宋体"/>
                                  <w:kern w:val="0"/>
                                  <w:sz w:val="28"/>
                                  <w:szCs w:val="28"/>
                                </w:rPr>
                                <w:br/>
                                <w:t>    第二十一条 本办法由锡盟科学技术行政部门负责解释，自发布之日起施行，《锡林郭勒盟科学技术奖励办法》（锡署发［2005］44号）同时废止。 </w:t>
                              </w:r>
                            </w:p>
                          </w:tc>
                        </w:tr>
                      </w:tbl>
                      <w:p w:rsidR="00E06E49" w:rsidRPr="00E06E49" w:rsidRDefault="00E06E49" w:rsidP="00E06E49">
                        <w:pPr>
                          <w:widowControl/>
                          <w:spacing w:line="345" w:lineRule="atLeast"/>
                          <w:jc w:val="left"/>
                          <w:rPr>
                            <w:rFonts w:ascii="宋体" w:eastAsia="宋体" w:hAnsi="宋体" w:cs="宋体"/>
                            <w:kern w:val="0"/>
                            <w:sz w:val="18"/>
                            <w:szCs w:val="18"/>
                          </w:rPr>
                        </w:pPr>
                      </w:p>
                    </w:tc>
                  </w:tr>
                </w:tbl>
                <w:p w:rsidR="00E06E49" w:rsidRPr="00E06E49" w:rsidRDefault="00E06E49" w:rsidP="00E06E49">
                  <w:pPr>
                    <w:widowControl/>
                    <w:spacing w:line="240" w:lineRule="auto"/>
                    <w:jc w:val="left"/>
                    <w:rPr>
                      <w:rFonts w:ascii="宋体" w:eastAsia="宋体" w:hAnsi="宋体" w:cs="宋体"/>
                      <w:kern w:val="0"/>
                      <w:szCs w:val="24"/>
                    </w:rPr>
                  </w:pPr>
                </w:p>
              </w:tc>
            </w:tr>
          </w:tbl>
          <w:p w:rsidR="00E06E49" w:rsidRPr="00E06E49" w:rsidRDefault="00E06E49" w:rsidP="00E06E49">
            <w:pPr>
              <w:widowControl/>
              <w:spacing w:line="240" w:lineRule="auto"/>
              <w:jc w:val="center"/>
              <w:rPr>
                <w:rFonts w:ascii="Simsun" w:eastAsia="宋体" w:hAnsi="Simsun" w:cs="宋体"/>
                <w:kern w:val="0"/>
                <w:szCs w:val="24"/>
              </w:rPr>
            </w:pPr>
          </w:p>
        </w:tc>
      </w:tr>
      <w:bookmarkEnd w:id="0"/>
    </w:tbl>
    <w:p w:rsidR="00650BB8" w:rsidRDefault="00E06E49"/>
    <w:sectPr w:rsidR="00650B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11E"/>
    <w:rsid w:val="000E611E"/>
    <w:rsid w:val="001F7137"/>
    <w:rsid w:val="00392DEA"/>
    <w:rsid w:val="00551BE2"/>
    <w:rsid w:val="00672B93"/>
    <w:rsid w:val="00E06E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42E18B-2D3B-41F8-9CCB-93D53A31D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DEA"/>
    <w:pPr>
      <w:widowControl w:val="0"/>
      <w:spacing w:line="360" w:lineRule="auto"/>
      <w:jc w:val="both"/>
    </w:pPr>
    <w:rPr>
      <w:sz w:val="24"/>
    </w:rPr>
  </w:style>
  <w:style w:type="paragraph" w:styleId="1">
    <w:name w:val="heading 1"/>
    <w:basedOn w:val="a"/>
    <w:next w:val="a"/>
    <w:link w:val="1Char"/>
    <w:uiPriority w:val="9"/>
    <w:qFormat/>
    <w:rsid w:val="00551BE2"/>
    <w:pPr>
      <w:keepNext/>
      <w:keepLines/>
      <w:jc w:val="center"/>
      <w:outlineLvl w:val="0"/>
    </w:pPr>
    <w:rPr>
      <w:b/>
      <w:bCs/>
      <w:kern w:val="44"/>
      <w:sz w:val="44"/>
      <w:szCs w:val="44"/>
    </w:rPr>
  </w:style>
  <w:style w:type="paragraph" w:styleId="3">
    <w:name w:val="heading 3"/>
    <w:basedOn w:val="a"/>
    <w:next w:val="a"/>
    <w:link w:val="3Char"/>
    <w:autoRedefine/>
    <w:uiPriority w:val="9"/>
    <w:unhideWhenUsed/>
    <w:qFormat/>
    <w:rsid w:val="00551BE2"/>
    <w:pPr>
      <w:keepNext/>
      <w:keepLines/>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51BE2"/>
    <w:rPr>
      <w:b/>
      <w:bCs/>
      <w:kern w:val="44"/>
      <w:sz w:val="44"/>
      <w:szCs w:val="44"/>
    </w:rPr>
  </w:style>
  <w:style w:type="character" w:customStyle="1" w:styleId="3Char">
    <w:name w:val="标题 3 Char"/>
    <w:basedOn w:val="a0"/>
    <w:link w:val="3"/>
    <w:uiPriority w:val="9"/>
    <w:rsid w:val="00551BE2"/>
    <w:rPr>
      <w:b/>
      <w:bCs/>
      <w:sz w:val="32"/>
      <w:szCs w:val="32"/>
    </w:rPr>
  </w:style>
  <w:style w:type="character" w:customStyle="1" w:styleId="link2">
    <w:name w:val="link2"/>
    <w:basedOn w:val="a0"/>
    <w:rsid w:val="00E06E49"/>
  </w:style>
  <w:style w:type="character" w:customStyle="1" w:styleId="zt12">
    <w:name w:val="zt12"/>
    <w:basedOn w:val="a0"/>
    <w:rsid w:val="00E06E49"/>
  </w:style>
  <w:style w:type="character" w:customStyle="1" w:styleId="style21">
    <w:name w:val="style21"/>
    <w:basedOn w:val="a0"/>
    <w:rsid w:val="00E06E49"/>
  </w:style>
  <w:style w:type="character" w:styleId="a3">
    <w:name w:val="Hyperlink"/>
    <w:basedOn w:val="a0"/>
    <w:uiPriority w:val="99"/>
    <w:semiHidden/>
    <w:unhideWhenUsed/>
    <w:rsid w:val="00E06E49"/>
    <w:rPr>
      <w:color w:val="0000FF"/>
      <w:u w:val="single"/>
    </w:rPr>
  </w:style>
  <w:style w:type="character" w:customStyle="1" w:styleId="style18">
    <w:name w:val="style18"/>
    <w:basedOn w:val="a0"/>
    <w:rsid w:val="00E06E49"/>
  </w:style>
  <w:style w:type="character" w:customStyle="1" w:styleId="apple-converted-space">
    <w:name w:val="apple-converted-space"/>
    <w:basedOn w:val="a0"/>
    <w:rsid w:val="00E06E49"/>
  </w:style>
  <w:style w:type="character" w:customStyle="1" w:styleId="style16">
    <w:name w:val="style16"/>
    <w:basedOn w:val="a0"/>
    <w:rsid w:val="00E06E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885145">
      <w:bodyDiv w:val="1"/>
      <w:marLeft w:val="0"/>
      <w:marRight w:val="0"/>
      <w:marTop w:val="0"/>
      <w:marBottom w:val="0"/>
      <w:divBdr>
        <w:top w:val="none" w:sz="0" w:space="0" w:color="auto"/>
        <w:left w:val="none" w:sz="0" w:space="0" w:color="auto"/>
        <w:bottom w:val="none" w:sz="0" w:space="0" w:color="auto"/>
        <w:right w:val="none" w:sz="0" w:space="0" w:color="auto"/>
      </w:divBdr>
      <w:divsChild>
        <w:div w:id="1177035852">
          <w:marLeft w:val="0"/>
          <w:marRight w:val="0"/>
          <w:marTop w:val="0"/>
          <w:marBottom w:val="0"/>
          <w:divBdr>
            <w:top w:val="none" w:sz="0" w:space="0" w:color="auto"/>
            <w:left w:val="none" w:sz="0" w:space="0" w:color="auto"/>
            <w:bottom w:val="none" w:sz="0" w:space="0" w:color="auto"/>
            <w:right w:val="none" w:sz="0" w:space="0" w:color="auto"/>
          </w:divBdr>
          <w:divsChild>
            <w:div w:id="138097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javascript:setColor('F3FFE1')" TargetMode="External"/><Relationship Id="rId18" Type="http://schemas.openxmlformats.org/officeDocument/2006/relationships/image" Target="media/image6.gif"/><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javascript:setColor('FFFFFF')" TargetMode="External"/><Relationship Id="rId7" Type="http://schemas.openxmlformats.org/officeDocument/2006/relationships/hyperlink" Target="javascript:setColor('FAFBE6')" TargetMode="External"/><Relationship Id="rId12" Type="http://schemas.openxmlformats.org/officeDocument/2006/relationships/image" Target="media/image3.gif"/><Relationship Id="rId17" Type="http://schemas.openxmlformats.org/officeDocument/2006/relationships/hyperlink" Target="javascript:setColor('E9EBFE')"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5.gif"/><Relationship Id="rId20" Type="http://schemas.openxmlformats.org/officeDocument/2006/relationships/image" Target="media/image7.gif"/><Relationship Id="rId1" Type="http://schemas.openxmlformats.org/officeDocument/2006/relationships/styles" Target="styles.xml"/><Relationship Id="rId6" Type="http://schemas.openxmlformats.org/officeDocument/2006/relationships/hyperlink" Target="javascript:setFont('14')" TargetMode="External"/><Relationship Id="rId11" Type="http://schemas.openxmlformats.org/officeDocument/2006/relationships/hyperlink" Target="javascript:setColor('FDE6E0')" TargetMode="External"/><Relationship Id="rId24" Type="http://schemas.openxmlformats.org/officeDocument/2006/relationships/hyperlink" Target="javascript:self.close();" TargetMode="External"/><Relationship Id="rId5" Type="http://schemas.openxmlformats.org/officeDocument/2006/relationships/hyperlink" Target="javascript:setFont('16')" TargetMode="External"/><Relationship Id="rId15" Type="http://schemas.openxmlformats.org/officeDocument/2006/relationships/hyperlink" Target="javascript:setColor('DAFAFE')" TargetMode="External"/><Relationship Id="rId23" Type="http://schemas.openxmlformats.org/officeDocument/2006/relationships/hyperlink" Target="javascript:print();" TargetMode="External"/><Relationship Id="rId10" Type="http://schemas.openxmlformats.org/officeDocument/2006/relationships/image" Target="media/image2.gif"/><Relationship Id="rId19" Type="http://schemas.openxmlformats.org/officeDocument/2006/relationships/hyperlink" Target="javascript:setColor('EAEAEF')" TargetMode="External"/><Relationship Id="rId4" Type="http://schemas.openxmlformats.org/officeDocument/2006/relationships/hyperlink" Target="javascript:setFont('18')" TargetMode="External"/><Relationship Id="rId9" Type="http://schemas.openxmlformats.org/officeDocument/2006/relationships/hyperlink" Target="javascript:setColor('FFF2E2')" TargetMode="External"/><Relationship Id="rId14" Type="http://schemas.openxmlformats.org/officeDocument/2006/relationships/image" Target="media/image4.gif"/><Relationship Id="rId22" Type="http://schemas.openxmlformats.org/officeDocument/2006/relationships/image" Target="media/image8.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472</Words>
  <Characters>2695</Characters>
  <Application>Microsoft Office Word</Application>
  <DocSecurity>0</DocSecurity>
  <Lines>22</Lines>
  <Paragraphs>6</Paragraphs>
  <ScaleCrop>false</ScaleCrop>
  <Company/>
  <LinksUpToDate>false</LinksUpToDate>
  <CharactersWithSpaces>3161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2</cp:revision>
  <dcterms:created xsi:type="dcterms:W3CDTF">2018-06-08T05:59:00Z</dcterms:created>
  <dcterms:modified xsi:type="dcterms:W3CDTF">2018-06-08T05:59:00Z</dcterms:modified>
</cp:coreProperties>
</file>