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54E" w:rsidRPr="00B8454E" w:rsidRDefault="00B8454E" w:rsidP="00B8454E">
      <w:pPr>
        <w:widowControl/>
        <w:shd w:val="clear" w:color="auto" w:fill="FFFFFF"/>
        <w:spacing w:line="700" w:lineRule="atLeast"/>
        <w:jc w:val="center"/>
        <w:rPr>
          <w:rFonts w:ascii="Tahoma" w:eastAsia="宋体" w:hAnsi="Tahoma" w:cs="Tahoma"/>
          <w:color w:val="444444"/>
          <w:kern w:val="0"/>
          <w:sz w:val="21"/>
          <w:szCs w:val="21"/>
        </w:rPr>
      </w:pPr>
      <w:r w:rsidRPr="00B8454E">
        <w:rPr>
          <w:rFonts w:ascii="Times New Roman" w:eastAsia="方正小标宋简体" w:hAnsi="Times New Roman" w:cs="Times New Roman"/>
          <w:kern w:val="0"/>
          <w:sz w:val="44"/>
          <w:szCs w:val="44"/>
        </w:rPr>
        <w:t>呼和浩特市工程技术研究中心认定管理办法</w:t>
      </w:r>
    </w:p>
    <w:p w:rsidR="00B8454E" w:rsidRPr="00B8454E" w:rsidRDefault="00B8454E" w:rsidP="00B8454E">
      <w:pPr>
        <w:widowControl/>
        <w:shd w:val="clear" w:color="auto" w:fill="FFFFFF"/>
        <w:spacing w:line="700" w:lineRule="atLeast"/>
        <w:jc w:val="center"/>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560" w:lineRule="atLeast"/>
        <w:rPr>
          <w:rFonts w:ascii="Tahoma" w:eastAsia="宋体" w:hAnsi="Tahoma" w:cs="Tahoma"/>
          <w:color w:val="444444"/>
          <w:kern w:val="0"/>
          <w:sz w:val="21"/>
          <w:szCs w:val="21"/>
        </w:rPr>
      </w:pPr>
      <w:r w:rsidRPr="00B8454E">
        <w:rPr>
          <w:rFonts w:ascii="Times New Roman" w:eastAsia="宋体" w:hAnsi="Times New Roman" w:cs="Times New Roman"/>
          <w:color w:val="444444"/>
          <w:kern w:val="0"/>
          <w:sz w:val="21"/>
          <w:szCs w:val="21"/>
        </w:rPr>
        <w:t>      </w:t>
      </w:r>
      <w:r w:rsidRPr="00B8454E">
        <w:rPr>
          <w:rFonts w:ascii="仿宋_gb2312" w:eastAsia="仿宋_gb2312" w:hAnsi="Times New Roman" w:cs="Times New Roman" w:hint="eastAsia"/>
          <w:kern w:val="0"/>
          <w:sz w:val="32"/>
          <w:szCs w:val="32"/>
        </w:rPr>
        <w:t>第一条</w:t>
      </w:r>
      <w:r w:rsidRPr="00B8454E">
        <w:rPr>
          <w:rFonts w:ascii="仿宋_gb2312" w:eastAsia="仿宋_gb2312" w:hAnsi="Times New Roman" w:cs="Times New Roman" w:hint="eastAsia"/>
          <w:kern w:val="0"/>
          <w:sz w:val="32"/>
          <w:szCs w:val="32"/>
        </w:rPr>
        <w:t>   </w:t>
      </w:r>
      <w:r w:rsidRPr="00B8454E">
        <w:rPr>
          <w:rFonts w:ascii="仿宋_gb2312" w:eastAsia="仿宋_gb2312" w:hAnsi="Times New Roman" w:cs="Times New Roman" w:hint="eastAsia"/>
          <w:kern w:val="0"/>
          <w:sz w:val="32"/>
          <w:szCs w:val="32"/>
        </w:rPr>
        <w:t>为加快构建呼和浩特市科学技术创新体系，提升产业创新能力，建成国家创新型城市，呼和浩特市规划建设市级工程技术研究中心。为规范对工程技术研究中心（以下简称“工程中心”）的认定和管理，充分发挥其在工程化研究开发、转化科技成果和高新技术产业化方面的作用，特制定本管理办法。</w:t>
      </w:r>
    </w:p>
    <w:p w:rsidR="00B8454E" w:rsidRPr="00B8454E" w:rsidRDefault="00B8454E" w:rsidP="00B8454E">
      <w:pPr>
        <w:widowControl/>
        <w:shd w:val="clear" w:color="auto" w:fill="FFFFFF"/>
        <w:spacing w:line="560" w:lineRule="atLeas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第二条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工程技术研究中心是依托我市在某个行业或领域具有一定科研条件和研究开发实力，拥有较强的工程技术研究开发、设计和试验的专业技术队伍，具有较完备的工程技术综合配套试验条件，能够提供多种综合性技术服务，有广泛的科技合作基础，同时具有自我良性循环发展机制的科技型企业组建的科技创新机构。</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第三条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组建市级工程技术研究中心旨在强化企业自主创新能力，引导企业增加科研投入，建立自我良性循环发展机制，带动行业或领域的技术进步，推进科技成果转化为现实生产力，使工程技术研究中心成为全市科研开发、技术创新、成果转化、开放共享、科技合作交流、培养专业技术队伍、促进产学研用的创新平台。</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lastRenderedPageBreak/>
        <w:t>第四条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市科技局根据全市经济发展、产业结构、高技术产业和科技发展规划刚要，制定我市工程技术研究中心建设发展规划和年度建设计划，并组织申报和认定，一个研究领域只认定一家工程技术研究中心。</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第五条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申请组建市级工程技术研究中心的依托单位应具备的条件：</w:t>
      </w:r>
    </w:p>
    <w:p w:rsidR="00B8454E" w:rsidRPr="00B8454E" w:rsidRDefault="00B8454E" w:rsidP="00B8454E">
      <w:pPr>
        <w:widowControl/>
        <w:shd w:val="clear" w:color="auto" w:fill="FFFFFF"/>
        <w:spacing w:line="560" w:lineRule="atLeas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 xml:space="preserve"> 1.申请组建工程中心的依托单位必须是在我市辖区内工商注册两年以上和纳税的企业法人单位。</w:t>
      </w:r>
    </w:p>
    <w:p w:rsidR="00B8454E" w:rsidRPr="00B8454E" w:rsidRDefault="00B8454E" w:rsidP="00B8454E">
      <w:pPr>
        <w:widowControl/>
        <w:shd w:val="clear" w:color="auto" w:fill="FFFFFF"/>
        <w:spacing w:line="560" w:lineRule="atLeast"/>
        <w:ind w:firstLine="645"/>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2.所建设的工程技术研究中心符合我市经济和科技发展规划，注重解决行业发展中的重大、关键、迫切和共性关键技术难题。</w:t>
      </w:r>
    </w:p>
    <w:p w:rsidR="00B8454E" w:rsidRPr="00B8454E" w:rsidRDefault="00B8454E" w:rsidP="00B8454E">
      <w:pPr>
        <w:widowControl/>
        <w:shd w:val="clear" w:color="auto" w:fill="FFFFFF"/>
        <w:spacing w:line="560" w:lineRule="atLeast"/>
        <w:ind w:firstLine="645"/>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3.有成果转化意识和市场开发意识较强的领导班子和相关学术领域的技术带头人；有一支15人以上具有本科学历和技术职称（高级职称占1/3）、结构合理、业务素质较高的科技开发队伍，并具备培养高级人才和技术培训的条件。</w:t>
      </w:r>
    </w:p>
    <w:p w:rsidR="00B8454E" w:rsidRPr="00B8454E" w:rsidRDefault="00B8454E" w:rsidP="00B8454E">
      <w:pPr>
        <w:widowControl/>
        <w:shd w:val="clear" w:color="auto" w:fill="FFFFFF"/>
        <w:spacing w:line="560" w:lineRule="atLeast"/>
        <w:ind w:firstLine="645"/>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4.组建的工程中心具有能保证开展研究工作需要的科研仪器和基础设施条件，并能为项目建设和运行提供必要的技术支撑和后勤保障。固定资产不少于300万元，建筑面积在200平方米以上。企业年销售收入在1000万元以上，利税逐年增长，有良好的业绩。</w:t>
      </w:r>
    </w:p>
    <w:p w:rsidR="00B8454E" w:rsidRPr="00B8454E" w:rsidRDefault="00B8454E" w:rsidP="00B8454E">
      <w:pPr>
        <w:widowControl/>
        <w:shd w:val="clear" w:color="auto" w:fill="FFFFFF"/>
        <w:spacing w:line="560" w:lineRule="atLeast"/>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 xml:space="preserve"> 5.有一定的科研工作基础，在本专业、本学科、本行业的研究和开发工作方面具有较高的水平和声誉。近三年</w:t>
      </w:r>
      <w:r w:rsidRPr="00B8454E">
        <w:rPr>
          <w:rFonts w:ascii="仿宋_gb2312" w:eastAsia="仿宋_gb2312" w:hAnsi="Tahoma" w:cs="Tahoma" w:hint="eastAsia"/>
          <w:kern w:val="0"/>
          <w:sz w:val="32"/>
          <w:szCs w:val="32"/>
        </w:rPr>
        <w:lastRenderedPageBreak/>
        <w:t>承担并按期完成市级以上科研课题不少于2项，拥有自主知识产权不少于2项（发明专利不少于1项或软件著作权）。</w:t>
      </w:r>
    </w:p>
    <w:p w:rsidR="00B8454E" w:rsidRPr="00B8454E" w:rsidRDefault="00B8454E" w:rsidP="00B8454E">
      <w:pPr>
        <w:widowControl/>
        <w:shd w:val="clear" w:color="auto" w:fill="FFFFFF"/>
        <w:spacing w:line="560" w:lineRule="atLeast"/>
        <w:ind w:firstLine="645"/>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6.具有工程技术试验条件和基础设施，由必要的检测手段、工艺设备和检测人才，具有稳定的科研投入，每年对中心的投入不低于销售收入的3%。</w:t>
      </w:r>
    </w:p>
    <w:p w:rsidR="00B8454E" w:rsidRPr="00B8454E" w:rsidRDefault="00B8454E" w:rsidP="00B8454E">
      <w:pPr>
        <w:widowControl/>
        <w:shd w:val="clear" w:color="auto" w:fill="FFFFFF"/>
        <w:spacing w:line="560" w:lineRule="atLeast"/>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 xml:space="preserve"> 7.有广泛的技术交流和获取科技信息的渠道和手段。</w:t>
      </w:r>
    </w:p>
    <w:p w:rsidR="00B8454E" w:rsidRPr="00B8454E" w:rsidRDefault="00B8454E" w:rsidP="00B8454E">
      <w:pPr>
        <w:widowControl/>
        <w:shd w:val="clear" w:color="auto" w:fill="FFFFFF"/>
        <w:spacing w:line="560" w:lineRule="atLeast"/>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 xml:space="preserve"> 8.具有可转化为现实生产力的科技成果。</w:t>
      </w:r>
    </w:p>
    <w:p w:rsidR="00B8454E" w:rsidRPr="00B8454E" w:rsidRDefault="00B8454E" w:rsidP="00B8454E">
      <w:pPr>
        <w:widowControl/>
        <w:shd w:val="clear" w:color="auto" w:fill="FFFFFF"/>
        <w:spacing w:line="560" w:lineRule="atLeast"/>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 xml:space="preserve"> 9.有灵活高效的运行机制和科学的管理体系。</w:t>
      </w:r>
    </w:p>
    <w:p w:rsidR="00B8454E" w:rsidRPr="00B8454E" w:rsidRDefault="00B8454E" w:rsidP="00B8454E">
      <w:pPr>
        <w:widowControl/>
        <w:shd w:val="clear" w:color="auto" w:fill="FFFFFF"/>
        <w:spacing w:line="560" w:lineRule="atLeas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第六条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凡符合第五条条件的单位均可填写《呼和浩特市工程技术研究中心认定申请表》（以下简称《申请表》，见附件一），经主管部门同意后报市科技局。</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第七条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市科技局经过初审后，确定申请组建工程中心的单位，由市科技局邀请专家对提出申请组建工程技术研究中心的单位进行评审论证和现场考察，依据评审和考察结果，最终确定是否认定该单位为市级工程技术研究中心。</w:t>
      </w:r>
    </w:p>
    <w:p w:rsidR="00B8454E" w:rsidRPr="00B8454E" w:rsidRDefault="00B8454E" w:rsidP="00B8454E">
      <w:pPr>
        <w:widowControl/>
        <w:shd w:val="clear" w:color="auto" w:fill="FFFFFF"/>
        <w:spacing w:line="560" w:lineRule="atLeast"/>
        <w:ind w:firstLine="640"/>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第八条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市科技局对被认定的单位颁发“呼和浩特市×××工程技术研究中心”的证书和铭牌。</w:t>
      </w:r>
    </w:p>
    <w:p w:rsidR="00B8454E" w:rsidRPr="00B8454E" w:rsidRDefault="00B8454E" w:rsidP="00B8454E">
      <w:pPr>
        <w:widowControl/>
        <w:shd w:val="clear" w:color="auto" w:fill="FFFFFF"/>
        <w:spacing w:line="560" w:lineRule="atLeast"/>
        <w:ind w:firstLine="640"/>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第九条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所建工程技术研究中心，与依托单位的隶属关系不变，依托单位自行管理，业务上受市科技局指导。</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lastRenderedPageBreak/>
        <w:t>第十条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凡属市级、省级和国家级工程技术研究中心申报市科学技术研究与发展计划的科研项目，市科技局在科研立项时给予优先考虑。</w:t>
      </w:r>
    </w:p>
    <w:p w:rsidR="00B8454E" w:rsidRPr="00B8454E" w:rsidRDefault="00B8454E" w:rsidP="00B8454E">
      <w:pPr>
        <w:widowControl/>
        <w:shd w:val="clear" w:color="auto" w:fill="FFFFFF"/>
        <w:spacing w:line="560" w:lineRule="atLeast"/>
        <w:ind w:firstLine="640"/>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第十一条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工程技术研究中心实行主任负责制，中心主任全权负责中心的工作。中心主任由依托单位聘任，每届任期三年，任期内不宜变动。</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第十二条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工程技术研究中心必须设立独立的学术委员会，它是工程技术研究中心的学术领导机构，其主要职能是指导中心确定研究方向，审定研究课题，监督经费使用，组织研究成果评价。学术委员会由5名以上成员组成，其中本单位之外的成员在2名以上，每届任期三年。</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第十三条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依托单位必须保证市工程技术研究中心有固定的编制，稳定的技术队伍，注意吸收青年科技人员参加，并努力培养和吸引人才。</w:t>
      </w:r>
    </w:p>
    <w:p w:rsidR="00B8454E" w:rsidRPr="00B8454E" w:rsidRDefault="00B8454E" w:rsidP="00B8454E">
      <w:pPr>
        <w:widowControl/>
        <w:shd w:val="clear" w:color="auto" w:fill="FFFFFF"/>
        <w:spacing w:line="560" w:lineRule="atLeast"/>
        <w:ind w:firstLine="640"/>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第十四条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依托单位要保证研究经费的投入，同时，市工程技术研究中心要通过多种渠道，积极争取各方面的支持，不断完善、充实、更新实验设备，提高研究手段，并面向社会开放服务。</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第十五条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工程技术研究中心实行报告、评估和动态管理制度。工程中心每年12月向市科技局报告年度工作进展，市科技局邀请专家依照《呼和浩特市工程技术研究中心评估指标体系》（见附件二）每三年评估一次。</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lastRenderedPageBreak/>
        <w:t>第十六条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市科技局依据评估结果进行奖惩。对工作开展的好，效益、成绩显著的单位，授予“市级先进工程技术研究中心”称号，优先支持申报各级科技计划项目；对管理不善，不能正常开展工作的市工程技术研究中心，给予警告、通报批评；对连续两次评估不合格的，取消其市级工程技术研究中心的资格。</w:t>
      </w:r>
    </w:p>
    <w:p w:rsidR="00B8454E" w:rsidRPr="00B8454E" w:rsidRDefault="00B8454E" w:rsidP="00B8454E">
      <w:pPr>
        <w:widowControl/>
        <w:shd w:val="clear" w:color="auto" w:fill="FFFFFF"/>
        <w:spacing w:line="560"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第十七条</w:t>
      </w: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本办法自2016年3月1日起施行，有效期五年，规范性文件统一编号为：BG-2016-01号。</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附件一</w:t>
      </w:r>
    </w:p>
    <w:p w:rsidR="00B8454E" w:rsidRPr="00B8454E" w:rsidRDefault="00B8454E" w:rsidP="00B8454E">
      <w:pPr>
        <w:widowControl/>
        <w:shd w:val="clear" w:color="auto" w:fill="FFFFFF"/>
        <w:spacing w:line="315" w:lineRule="atLeas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center"/>
        <w:rPr>
          <w:rFonts w:ascii="Tahoma" w:eastAsia="宋体" w:hAnsi="Tahoma" w:cs="Tahoma"/>
          <w:color w:val="444444"/>
          <w:kern w:val="0"/>
          <w:sz w:val="21"/>
          <w:szCs w:val="21"/>
        </w:rPr>
      </w:pPr>
      <w:r w:rsidRPr="00B8454E">
        <w:rPr>
          <w:rFonts w:ascii="宋体" w:eastAsia="宋体" w:hAnsi="宋体" w:cs="Tahoma" w:hint="eastAsia"/>
          <w:b/>
          <w:bCs/>
          <w:kern w:val="0"/>
          <w:sz w:val="44"/>
          <w:szCs w:val="44"/>
        </w:rPr>
        <w:t>呼和浩特市工程技术研究中心</w:t>
      </w:r>
    </w:p>
    <w:p w:rsidR="00B8454E" w:rsidRPr="00B8454E" w:rsidRDefault="00B8454E" w:rsidP="00B8454E">
      <w:pPr>
        <w:widowControl/>
        <w:shd w:val="clear" w:color="auto" w:fill="FFFFFF"/>
        <w:spacing w:line="315" w:lineRule="atLeast"/>
        <w:jc w:val="center"/>
        <w:rPr>
          <w:rFonts w:ascii="Tahoma" w:eastAsia="宋体" w:hAnsi="Tahoma" w:cs="Tahoma"/>
          <w:color w:val="444444"/>
          <w:kern w:val="0"/>
          <w:sz w:val="21"/>
          <w:szCs w:val="21"/>
        </w:rPr>
      </w:pPr>
      <w:r w:rsidRPr="00B8454E">
        <w:rPr>
          <w:rFonts w:ascii="宋体" w:eastAsia="宋体" w:hAnsi="宋体" w:cs="Tahoma" w:hint="eastAsia"/>
          <w:b/>
          <w:bCs/>
          <w:kern w:val="0"/>
          <w:sz w:val="44"/>
          <w:szCs w:val="44"/>
        </w:rPr>
        <w:t>认</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44"/>
          <w:szCs w:val="44"/>
        </w:rPr>
        <w:t>定</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44"/>
          <w:szCs w:val="44"/>
        </w:rPr>
        <w:t>申</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44"/>
          <w:szCs w:val="44"/>
        </w:rPr>
        <w:t>请</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44"/>
          <w:szCs w:val="44"/>
        </w:rPr>
        <w:t>表</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宋体" w:eastAsia="宋体" w:hAnsi="宋体" w:cs="Tahoma" w:hint="eastAsia"/>
          <w:b/>
          <w:bCs/>
          <w:kern w:val="0"/>
          <w:sz w:val="32"/>
          <w:szCs w:val="32"/>
        </w:rPr>
        <w:t>拟认定中心名称：</w:t>
      </w: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宋体" w:eastAsia="宋体" w:hAnsi="宋体" w:cs="Tahoma" w:hint="eastAsia"/>
          <w:b/>
          <w:bCs/>
          <w:kern w:val="0"/>
          <w:sz w:val="32"/>
          <w:szCs w:val="32"/>
        </w:rPr>
        <w:t>建</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设</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单</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位：</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宋体" w:eastAsia="宋体" w:hAnsi="宋体" w:cs="Tahoma" w:hint="eastAsia"/>
          <w:b/>
          <w:bCs/>
          <w:kern w:val="0"/>
          <w:sz w:val="32"/>
          <w:szCs w:val="32"/>
        </w:rPr>
        <w:t>负</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责</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人：</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电话：</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邮箱：</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宋体" w:eastAsia="宋体" w:hAnsi="宋体" w:cs="Tahoma" w:hint="eastAsia"/>
          <w:b/>
          <w:bCs/>
          <w:kern w:val="0"/>
          <w:sz w:val="32"/>
          <w:szCs w:val="32"/>
        </w:rPr>
        <w:t>通讯地址：</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宋体" w:eastAsia="宋体" w:hAnsi="宋体" w:cs="Tahoma" w:hint="eastAsia"/>
          <w:b/>
          <w:bCs/>
          <w:kern w:val="0"/>
          <w:sz w:val="32"/>
          <w:szCs w:val="32"/>
        </w:rPr>
        <w:lastRenderedPageBreak/>
        <w:t>邮政编码：</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宋体" w:eastAsia="宋体" w:hAnsi="宋体" w:cs="Tahoma" w:hint="eastAsia"/>
          <w:b/>
          <w:bCs/>
          <w:kern w:val="0"/>
          <w:sz w:val="32"/>
          <w:szCs w:val="32"/>
        </w:rPr>
        <w:t>申请时间：</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center"/>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呼</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和</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浩</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特</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市</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科</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学</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技</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术</w:t>
      </w:r>
      <w:r w:rsidRPr="00B8454E">
        <w:rPr>
          <w:rFonts w:ascii="Tahoma" w:eastAsia="宋体" w:hAnsi="Tahoma" w:cs="Tahoma"/>
          <w:color w:val="444444"/>
          <w:kern w:val="0"/>
          <w:sz w:val="21"/>
          <w:szCs w:val="21"/>
        </w:rPr>
        <w:t> </w:t>
      </w:r>
      <w:r w:rsidRPr="00B8454E">
        <w:rPr>
          <w:rFonts w:ascii="宋体" w:eastAsia="宋体" w:hAnsi="宋体" w:cs="Tahoma" w:hint="eastAsia"/>
          <w:b/>
          <w:bCs/>
          <w:kern w:val="0"/>
          <w:sz w:val="32"/>
          <w:szCs w:val="32"/>
        </w:rPr>
        <w:t>局</w:t>
      </w:r>
    </w:p>
    <w:p w:rsidR="00B8454E" w:rsidRPr="00B8454E" w:rsidRDefault="00B8454E" w:rsidP="00B8454E">
      <w:pPr>
        <w:widowControl/>
        <w:shd w:val="clear" w:color="auto" w:fill="FFFFFF"/>
        <w:spacing w:line="315" w:lineRule="atLeast"/>
        <w:jc w:val="center"/>
        <w:rPr>
          <w:rFonts w:ascii="Tahoma" w:eastAsia="宋体" w:hAnsi="Tahoma" w:cs="Tahoma"/>
          <w:color w:val="444444"/>
          <w:kern w:val="0"/>
          <w:sz w:val="21"/>
          <w:szCs w:val="21"/>
        </w:rPr>
      </w:pPr>
      <w:r w:rsidRPr="00B8454E">
        <w:rPr>
          <w:rFonts w:ascii="宋体" w:eastAsia="宋体" w:hAnsi="宋体" w:cs="Tahoma" w:hint="eastAsia"/>
          <w:kern w:val="0"/>
          <w:sz w:val="32"/>
          <w:szCs w:val="32"/>
        </w:rPr>
        <w:t>二○一六年制</w:t>
      </w:r>
    </w:p>
    <w:p w:rsidR="00B8454E" w:rsidRPr="00B8454E" w:rsidRDefault="00B8454E" w:rsidP="00B8454E">
      <w:pPr>
        <w:widowControl/>
        <w:numPr>
          <w:ilvl w:val="0"/>
          <w:numId w:val="1"/>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中心建设的背景、必要性和作用</w:t>
      </w:r>
      <w:r w:rsidRPr="00B8454E">
        <w:rPr>
          <w:rFonts w:ascii="仿宋_gb2312" w:eastAsia="仿宋_gb2312" w:hAnsi="Tahoma" w:cs="Tahoma" w:hint="eastAsia"/>
          <w:kern w:val="0"/>
          <w:sz w:val="32"/>
          <w:szCs w:val="32"/>
        </w:rPr>
        <w:t>（包括国内外发展现状、发展趋势、市场前景、行业需求等）</w:t>
      </w:r>
    </w:p>
    <w:p w:rsidR="00B8454E" w:rsidRPr="00B8454E" w:rsidRDefault="00B8454E" w:rsidP="00B8454E">
      <w:pPr>
        <w:widowControl/>
        <w:numPr>
          <w:ilvl w:val="0"/>
          <w:numId w:val="1"/>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建设单位现有基础条件</w:t>
      </w:r>
      <w:r w:rsidRPr="00B8454E">
        <w:rPr>
          <w:rFonts w:ascii="仿宋_gb2312" w:eastAsia="仿宋_gb2312" w:hAnsi="Tahoma" w:cs="Tahoma" w:hint="eastAsia"/>
          <w:kern w:val="0"/>
          <w:sz w:val="32"/>
          <w:szCs w:val="32"/>
        </w:rPr>
        <w:t>（包括人员队伍、基础设施、仪器设备、技术水平、研究成果、国内所处地位以及近三年企业经济发展情况等）</w:t>
      </w:r>
    </w:p>
    <w:p w:rsidR="00B8454E" w:rsidRPr="00B8454E" w:rsidRDefault="00B8454E" w:rsidP="00B8454E">
      <w:pPr>
        <w:widowControl/>
        <w:numPr>
          <w:ilvl w:val="0"/>
          <w:numId w:val="1"/>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中心研究开发方向、任务</w:t>
      </w:r>
    </w:p>
    <w:p w:rsidR="00B8454E" w:rsidRPr="00B8454E" w:rsidRDefault="00B8454E" w:rsidP="00B8454E">
      <w:pPr>
        <w:widowControl/>
        <w:shd w:val="clear" w:color="auto" w:fill="FFFFFF"/>
        <w:spacing w:line="315" w:lineRule="atLeast"/>
        <w:ind w:left="645"/>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numPr>
          <w:ilvl w:val="0"/>
          <w:numId w:val="2"/>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中心组织结构、管理机制</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numPr>
          <w:ilvl w:val="0"/>
          <w:numId w:val="3"/>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中心建设规模</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 xml:space="preserve">　</w:t>
      </w: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1．固定资产总额</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 xml:space="preserve">　2．建筑规模（设施名称、用途、面积、投资、建成时间）</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 xml:space="preserve">　3．仪器设备明细（设备名称、型号、数量、价值、产地、资金、用途）</w:t>
      </w:r>
    </w:p>
    <w:p w:rsidR="00B8454E" w:rsidRPr="00B8454E" w:rsidRDefault="00B8454E" w:rsidP="00B8454E">
      <w:pPr>
        <w:widowControl/>
        <w:numPr>
          <w:ilvl w:val="0"/>
          <w:numId w:val="4"/>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中心人员配备及规模</w:t>
      </w:r>
      <w:r w:rsidRPr="00B8454E">
        <w:rPr>
          <w:rFonts w:ascii="仿宋_gb2312" w:eastAsia="仿宋_gb2312" w:hAnsi="Tahoma" w:cs="Tahoma" w:hint="eastAsia"/>
          <w:kern w:val="0"/>
          <w:sz w:val="32"/>
          <w:szCs w:val="32"/>
        </w:rPr>
        <w:t>（职工总人数、管理人员、研究人员、职称、学历）</w:t>
      </w:r>
    </w:p>
    <w:p w:rsidR="00B8454E" w:rsidRPr="00B8454E" w:rsidRDefault="00B8454E" w:rsidP="00B8454E">
      <w:pPr>
        <w:widowControl/>
        <w:numPr>
          <w:ilvl w:val="0"/>
          <w:numId w:val="4"/>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lastRenderedPageBreak/>
        <w:t>中心负责人、主要成员简介及分工</w:t>
      </w:r>
    </w:p>
    <w:p w:rsidR="00B8454E" w:rsidRPr="00B8454E" w:rsidRDefault="00B8454E" w:rsidP="00B8454E">
      <w:pPr>
        <w:widowControl/>
        <w:shd w:val="clear" w:color="auto" w:fill="FFFFFF"/>
        <w:spacing w:line="315" w:lineRule="atLeast"/>
        <w:ind w:left="645"/>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numPr>
          <w:ilvl w:val="0"/>
          <w:numId w:val="5"/>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中心建成后的水平</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 xml:space="preserve">　</w:t>
      </w: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1．技术研究开发与创新能力</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 xml:space="preserve">　</w:t>
      </w:r>
      <w:r w:rsidRPr="00B8454E">
        <w:rPr>
          <w:rFonts w:ascii="仿宋_gb2312" w:eastAsia="仿宋_gb2312" w:hAnsi="Tahoma" w:cs="Tahoma" w:hint="eastAsia"/>
          <w:kern w:val="0"/>
          <w:sz w:val="32"/>
          <w:szCs w:val="32"/>
        </w:rPr>
        <w:t> </w:t>
      </w:r>
      <w:r w:rsidRPr="00B8454E">
        <w:rPr>
          <w:rFonts w:ascii="仿宋_gb2312" w:eastAsia="仿宋_gb2312" w:hAnsi="Tahoma" w:cs="Tahoma" w:hint="eastAsia"/>
          <w:kern w:val="0"/>
          <w:sz w:val="32"/>
          <w:szCs w:val="32"/>
        </w:rPr>
        <w:t>2．近三年完成的科研项目情况</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ahoma" w:cs="Tahoma" w:hint="eastAsia"/>
          <w:kern w:val="0"/>
          <w:sz w:val="32"/>
          <w:szCs w:val="32"/>
        </w:rPr>
        <w:t xml:space="preserve">　3．培训及开放能力</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4．对同行业辐射带动能力</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5．运行管理及自我发展能力</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6．科技成果转化能力</w:t>
      </w:r>
    </w:p>
    <w:p w:rsidR="00B8454E" w:rsidRPr="00B8454E" w:rsidRDefault="00B8454E" w:rsidP="00B8454E">
      <w:pPr>
        <w:widowControl/>
        <w:shd w:val="clear" w:color="auto" w:fill="FFFFFF"/>
        <w:spacing w:line="315" w:lineRule="atLeast"/>
        <w:ind w:firstLine="640"/>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7．赢利能力</w:t>
      </w:r>
    </w:p>
    <w:p w:rsidR="00B8454E" w:rsidRPr="00B8454E" w:rsidRDefault="00B8454E" w:rsidP="00B8454E">
      <w:pPr>
        <w:widowControl/>
        <w:numPr>
          <w:ilvl w:val="0"/>
          <w:numId w:val="6"/>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中心中期（3-5年）发展规划</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numPr>
          <w:ilvl w:val="0"/>
          <w:numId w:val="7"/>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建设单位意见</w:t>
      </w:r>
      <w:r w:rsidRPr="00B8454E">
        <w:rPr>
          <w:rFonts w:ascii="仿宋_gb2312" w:eastAsia="仿宋_gb2312" w:hAnsi="Tahoma" w:cs="Tahoma" w:hint="eastAsia"/>
          <w:kern w:val="0"/>
          <w:sz w:val="32"/>
          <w:szCs w:val="32"/>
        </w:rPr>
        <w:t>（包括建设单位对中心组织管理、后勤条件保障等）</w:t>
      </w:r>
    </w:p>
    <w:p w:rsidR="00B8454E" w:rsidRPr="00B8454E" w:rsidRDefault="00B8454E" w:rsidP="00B8454E">
      <w:pPr>
        <w:widowControl/>
        <w:numPr>
          <w:ilvl w:val="0"/>
          <w:numId w:val="7"/>
        </w:numPr>
        <w:shd w:val="clear" w:color="auto" w:fill="FFFFFF"/>
        <w:spacing w:line="240" w:lineRule="auto"/>
        <w:ind w:left="0"/>
        <w:jc w:val="left"/>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主管部门审查意见</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ind w:left="105"/>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jc w:val="left"/>
        <w:rPr>
          <w:rFonts w:ascii="Tahoma" w:eastAsia="宋体" w:hAnsi="Tahoma" w:cs="Tahoma"/>
          <w:color w:val="444444"/>
          <w:kern w:val="0"/>
          <w:sz w:val="21"/>
          <w:szCs w:val="21"/>
        </w:rPr>
      </w:pPr>
      <w:r w:rsidRPr="00B8454E">
        <w:rPr>
          <w:rFonts w:ascii="仿宋_gb2312" w:eastAsia="仿宋_gb2312" w:hAnsi="Tahoma" w:cs="Tahoma" w:hint="eastAsia"/>
          <w:kern w:val="0"/>
          <w:sz w:val="32"/>
          <w:szCs w:val="32"/>
        </w:rPr>
        <w:t>附件二</w:t>
      </w:r>
    </w:p>
    <w:p w:rsidR="00B8454E" w:rsidRPr="00B8454E" w:rsidRDefault="00B8454E" w:rsidP="00B8454E">
      <w:pPr>
        <w:widowControl/>
        <w:shd w:val="clear" w:color="auto" w:fill="FFFFFF"/>
        <w:spacing w:line="315" w:lineRule="atLeast"/>
        <w:jc w:val="center"/>
        <w:rPr>
          <w:rFonts w:ascii="Tahoma" w:eastAsia="宋体" w:hAnsi="Tahoma" w:cs="Tahoma"/>
          <w:color w:val="444444"/>
          <w:kern w:val="0"/>
          <w:sz w:val="21"/>
          <w:szCs w:val="21"/>
        </w:rPr>
      </w:pPr>
      <w:r w:rsidRPr="00B8454E">
        <w:rPr>
          <w:rFonts w:ascii="宋体" w:eastAsia="宋体" w:hAnsi="宋体" w:cs="Tahoma" w:hint="eastAsia"/>
          <w:b/>
          <w:bCs/>
          <w:kern w:val="0"/>
          <w:sz w:val="44"/>
          <w:szCs w:val="44"/>
        </w:rPr>
        <w:lastRenderedPageBreak/>
        <w:t>呼和浩特市工程技术研究中心</w:t>
      </w:r>
    </w:p>
    <w:p w:rsidR="00B8454E" w:rsidRPr="00B8454E" w:rsidRDefault="00B8454E" w:rsidP="00B8454E">
      <w:pPr>
        <w:widowControl/>
        <w:shd w:val="clear" w:color="auto" w:fill="FFFFFF"/>
        <w:spacing w:line="315" w:lineRule="atLeast"/>
        <w:jc w:val="center"/>
        <w:rPr>
          <w:rFonts w:ascii="Tahoma" w:eastAsia="宋体" w:hAnsi="Tahoma" w:cs="Tahoma"/>
          <w:color w:val="444444"/>
          <w:kern w:val="0"/>
          <w:sz w:val="21"/>
          <w:szCs w:val="21"/>
        </w:rPr>
      </w:pPr>
      <w:r w:rsidRPr="00B8454E">
        <w:rPr>
          <w:rFonts w:ascii="宋体" w:eastAsia="宋体" w:hAnsi="宋体" w:cs="Tahoma" w:hint="eastAsia"/>
          <w:b/>
          <w:bCs/>
          <w:kern w:val="0"/>
          <w:sz w:val="44"/>
          <w:szCs w:val="44"/>
        </w:rPr>
        <w:t>评估指标体系</w:t>
      </w:r>
    </w:p>
    <w:p w:rsidR="00B8454E" w:rsidRPr="00B8454E" w:rsidRDefault="00B8454E" w:rsidP="00B8454E">
      <w:pPr>
        <w:widowControl/>
        <w:shd w:val="clear" w:color="auto" w:fill="FFFFFF"/>
        <w:spacing w:line="315" w:lineRule="atLeast"/>
        <w:jc w:val="center"/>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ahoma" w:cs="Tahoma" w:hint="eastAsia"/>
          <w:b/>
          <w:bCs/>
          <w:kern w:val="0"/>
          <w:sz w:val="32"/>
          <w:szCs w:val="32"/>
        </w:rPr>
        <w:t>一、研究工作和成果</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1．研究规划计划</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2．研究成果</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3．发表论文</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4．申请专利，其中发明专利</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5．获准专利，其中发明专利</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6．承担研究课题</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7．获得研究经费数</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8．获得科技进步奖</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Times New Roman" w:eastAsia="仿宋_gb2312" w:hAnsi="Times New Roman" w:cs="Times New Roman"/>
          <w:b/>
          <w:bCs/>
          <w:kern w:val="0"/>
          <w:sz w:val="32"/>
          <w:szCs w:val="32"/>
        </w:rPr>
        <w:t>二、队伍建设和人才培养</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1．职工队伍</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2．科研人员队伍</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3．博士、研究生在读和毕业人数</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4．吸引各类科技人员数</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5．培养人才数</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Times New Roman" w:eastAsia="仿宋_gb2312" w:hAnsi="Times New Roman" w:cs="Times New Roman"/>
          <w:b/>
          <w:bCs/>
          <w:kern w:val="0"/>
          <w:sz w:val="32"/>
          <w:szCs w:val="32"/>
        </w:rPr>
        <w:t>三、设备运行情况</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1．设备完好率</w:t>
      </w:r>
    </w:p>
    <w:p w:rsidR="00B8454E" w:rsidRPr="00B8454E" w:rsidRDefault="00B8454E" w:rsidP="00B8454E">
      <w:pPr>
        <w:widowControl/>
        <w:shd w:val="clear" w:color="auto" w:fill="FFFFFF"/>
        <w:spacing w:line="315" w:lineRule="atLeast"/>
        <w:ind w:firstLine="640"/>
        <w:rPr>
          <w:rFonts w:ascii="Tahoma" w:eastAsia="宋体" w:hAnsi="Tahoma" w:cs="Tahoma"/>
          <w:color w:val="444444"/>
          <w:kern w:val="0"/>
          <w:sz w:val="21"/>
          <w:szCs w:val="21"/>
        </w:rPr>
      </w:pPr>
      <w:r w:rsidRPr="00B8454E">
        <w:rPr>
          <w:rFonts w:ascii="仿宋_gb2312" w:eastAsia="仿宋_gb2312" w:hAnsi="Times New Roman" w:cs="Times New Roman" w:hint="eastAsia"/>
          <w:kern w:val="0"/>
          <w:sz w:val="32"/>
          <w:szCs w:val="32"/>
        </w:rPr>
        <w:t>2．设备利用率</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imes New Roman" w:eastAsia="仿宋_gb2312" w:hAnsi="Times New Roman" w:cs="Times New Roman"/>
          <w:b/>
          <w:bCs/>
          <w:kern w:val="0"/>
          <w:sz w:val="32"/>
          <w:szCs w:val="32"/>
        </w:rPr>
        <w:t>四、科研成果转化</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1．开发新产品数</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lastRenderedPageBreak/>
        <w:t> </w:t>
      </w:r>
      <w:r w:rsidRPr="00B8454E">
        <w:rPr>
          <w:rFonts w:ascii="仿宋_gb2312" w:eastAsia="仿宋_gb2312" w:hAnsi="Times New Roman" w:cs="Times New Roman" w:hint="eastAsia"/>
          <w:kern w:val="0"/>
          <w:sz w:val="32"/>
          <w:szCs w:val="32"/>
        </w:rPr>
        <w:t>2．成果推广和技术转让数</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imes New Roman" w:eastAsia="仿宋_gb2312" w:hAnsi="Times New Roman" w:cs="Times New Roman"/>
          <w:b/>
          <w:bCs/>
          <w:kern w:val="0"/>
          <w:sz w:val="32"/>
          <w:szCs w:val="32"/>
        </w:rPr>
        <w:t>五、经济效益</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1．产值</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2．销售收入</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3．产业化后的产值</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4．利税</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5．创汇</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6．净资产收益率</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imes New Roman" w:eastAsia="仿宋_gb2312" w:hAnsi="Times New Roman" w:cs="Times New Roman"/>
          <w:b/>
          <w:bCs/>
          <w:kern w:val="0"/>
          <w:sz w:val="32"/>
          <w:szCs w:val="32"/>
        </w:rPr>
        <w:t>六、社会效益</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1．研究成果对社会的影响</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2．论文引用情况</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3．研究成果辐射区域</w:t>
      </w:r>
    </w:p>
    <w:p w:rsidR="00B8454E" w:rsidRPr="00B8454E" w:rsidRDefault="00B8454E" w:rsidP="00B8454E">
      <w:pPr>
        <w:widowControl/>
        <w:shd w:val="clear" w:color="auto" w:fill="FFFFFF"/>
        <w:spacing w:line="315" w:lineRule="atLeast"/>
        <w:ind w:left="840"/>
        <w:rPr>
          <w:rFonts w:ascii="Tahoma" w:eastAsia="宋体" w:hAnsi="Tahoma" w:cs="Tahoma"/>
          <w:color w:val="444444"/>
          <w:kern w:val="0"/>
          <w:sz w:val="21"/>
          <w:szCs w:val="21"/>
        </w:rPr>
      </w:pPr>
      <w:r w:rsidRPr="00B8454E">
        <w:rPr>
          <w:rFonts w:ascii="Tahoma" w:eastAsia="宋体" w:hAnsi="Tahoma" w:cs="Tahoma"/>
          <w:color w:val="444444"/>
          <w:kern w:val="0"/>
          <w:sz w:val="21"/>
          <w:szCs w:val="21"/>
        </w:rPr>
        <w:t> </w:t>
      </w:r>
      <w:r w:rsidRPr="00B8454E">
        <w:rPr>
          <w:rFonts w:ascii="仿宋_gb2312" w:eastAsia="仿宋_gb2312" w:hAnsi="Times New Roman" w:cs="Times New Roman" w:hint="eastAsia"/>
          <w:kern w:val="0"/>
          <w:sz w:val="32"/>
          <w:szCs w:val="32"/>
        </w:rPr>
        <w:t>4．其他</w:t>
      </w:r>
    </w:p>
    <w:p w:rsidR="00650BB8" w:rsidRDefault="00B8454E">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7C8C"/>
    <w:multiLevelType w:val="multilevel"/>
    <w:tmpl w:val="DB12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68DF"/>
    <w:multiLevelType w:val="multilevel"/>
    <w:tmpl w:val="E910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627ED"/>
    <w:multiLevelType w:val="multilevel"/>
    <w:tmpl w:val="C2C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F7C40"/>
    <w:multiLevelType w:val="multilevel"/>
    <w:tmpl w:val="EEB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B79B7"/>
    <w:multiLevelType w:val="multilevel"/>
    <w:tmpl w:val="71DA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F20BD"/>
    <w:multiLevelType w:val="multilevel"/>
    <w:tmpl w:val="674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FE5BED"/>
    <w:multiLevelType w:val="multilevel"/>
    <w:tmpl w:val="B39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A4"/>
    <w:rsid w:val="001F7137"/>
    <w:rsid w:val="00392DEA"/>
    <w:rsid w:val="00551BE2"/>
    <w:rsid w:val="00672B93"/>
    <w:rsid w:val="00AA53A4"/>
    <w:rsid w:val="00B8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31EEA-D18E-4C3B-810F-BD51AE1B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B8454E"/>
    <w:pPr>
      <w:widowControl/>
      <w:spacing w:before="100" w:beforeAutospacing="1" w:after="100" w:afterAutospacing="1" w:line="240" w:lineRule="auto"/>
      <w:jc w:val="left"/>
    </w:pPr>
    <w:rPr>
      <w:rFonts w:ascii="宋体" w:eastAsia="宋体" w:hAnsi="宋体" w:cs="宋体"/>
      <w:kern w:val="0"/>
      <w:szCs w:val="24"/>
    </w:rPr>
  </w:style>
  <w:style w:type="character" w:customStyle="1" w:styleId="apple-converted-space">
    <w:name w:val="apple-converted-space"/>
    <w:basedOn w:val="a0"/>
    <w:rsid w:val="00B8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2018-06-01T08:33:00Z</dcterms:created>
  <dcterms:modified xsi:type="dcterms:W3CDTF">2018-06-01T08:34:00Z</dcterms:modified>
</cp:coreProperties>
</file>