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C5F6" w14:textId="77777777" w:rsidR="005301A9" w:rsidRDefault="005301A9" w:rsidP="005301A9">
      <w:pPr>
        <w:pStyle w:val="a5"/>
        <w:spacing w:before="0" w:beforeAutospacing="0" w:after="0" w:afterAutospacing="0" w:line="360" w:lineRule="atLeast"/>
        <w:ind w:left="720"/>
        <w:jc w:val="center"/>
        <w:rPr>
          <w:rFonts w:ascii="Simsun" w:eastAsia="微软雅黑" w:hAnsi="Simsun" w:cs="Arial"/>
          <w:color w:val="333333"/>
          <w:sz w:val="27"/>
          <w:szCs w:val="27"/>
        </w:rPr>
      </w:pPr>
      <w:r>
        <w:rPr>
          <w:rStyle w:val="a4"/>
          <w:rFonts w:ascii="华文中宋" w:eastAsia="华文中宋" w:hAnsi="华文中宋" w:cs="Arial" w:hint="eastAsia"/>
          <w:color w:val="333333"/>
          <w:sz w:val="44"/>
          <w:szCs w:val="44"/>
          <w:bdr w:val="none" w:sz="0" w:space="0" w:color="auto" w:frame="1"/>
        </w:rPr>
        <w:t>运城市招商引资优惠政策</w:t>
      </w:r>
    </w:p>
    <w:p w14:paraId="021E4104" w14:textId="77777777" w:rsidR="005301A9" w:rsidRDefault="005301A9" w:rsidP="005301A9">
      <w:pPr>
        <w:pStyle w:val="a5"/>
        <w:spacing w:before="0" w:beforeAutospacing="0" w:after="0" w:afterAutospacing="0" w:line="360" w:lineRule="atLeast"/>
        <w:ind w:left="720"/>
        <w:jc w:val="center"/>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p>
    <w:p w14:paraId="5DB0F757" w14:textId="77777777" w:rsidR="005301A9" w:rsidRDefault="005301A9" w:rsidP="005301A9">
      <w:pPr>
        <w:pStyle w:val="a5"/>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为进一步改善投资环境，加大招商引资力度，实施开放带动，拓展发展新空间，吸引优秀企业，实现产业聚集，人才汇集，加快运城经济社会发展步伐，结合我市实际，特制定本政策。</w:t>
      </w:r>
    </w:p>
    <w:p w14:paraId="690DA9FC" w14:textId="77777777" w:rsidR="005301A9" w:rsidRDefault="005301A9" w:rsidP="005301A9">
      <w:pPr>
        <w:pStyle w:val="a5"/>
        <w:spacing w:before="0" w:beforeAutospacing="0" w:after="0" w:afterAutospacing="0" w:line="600"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rPr>
        <w:t>第一章</w:t>
      </w:r>
      <w:r>
        <w:rPr>
          <w:rStyle w:val="a4"/>
          <w:rFonts w:ascii="Calibri" w:eastAsia="黑体" w:hAnsi="Calibri" w:cs="Calibri"/>
          <w:color w:val="333333"/>
          <w:sz w:val="32"/>
          <w:szCs w:val="32"/>
          <w:bdr w:val="none" w:sz="0" w:space="0" w:color="auto" w:frame="1"/>
        </w:rPr>
        <w:t>  </w:t>
      </w:r>
      <w:r>
        <w:rPr>
          <w:rStyle w:val="a4"/>
          <w:rFonts w:ascii="黑体" w:eastAsia="黑体" w:hAnsi="黑体" w:cs="Arial" w:hint="eastAsia"/>
          <w:color w:val="333333"/>
          <w:sz w:val="32"/>
          <w:szCs w:val="32"/>
          <w:bdr w:val="none" w:sz="0" w:space="0" w:color="auto" w:frame="1"/>
        </w:rPr>
        <w:t>适用范围及条件</w:t>
      </w:r>
    </w:p>
    <w:p w14:paraId="4C3F102C"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第一条</w:t>
      </w:r>
      <w:r>
        <w:rPr>
          <w:rStyle w:val="a4"/>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本政策适用于运城市行政区域外企业、个人和其它经济组织，在本行政区域投资新建的符合国家产业政策和我市产业发展方向，在地方缴纳国家规定各种税费的独立核算企业。</w:t>
      </w:r>
      <w:r>
        <w:rPr>
          <w:rFonts w:ascii="仿宋_GB2312" w:eastAsia="仿宋_GB2312" w:hAnsi="Simsun" w:cs="Arial" w:hint="eastAsia"/>
          <w:color w:val="333333"/>
          <w:sz w:val="32"/>
          <w:szCs w:val="32"/>
          <w:bdr w:val="none" w:sz="0" w:space="0" w:color="auto" w:frame="1"/>
          <w:shd w:val="clear" w:color="auto" w:fill="FFFFFF"/>
        </w:rPr>
        <w:t>本区域内企业、个人和其它经济组织，在本区域新建项目同样享受本政策。</w:t>
      </w:r>
    </w:p>
    <w:p w14:paraId="2A5C49D8"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第二条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符合下列情形、建设期限不超过两年的项目，享受本规定优惠政策。</w:t>
      </w:r>
    </w:p>
    <w:p w14:paraId="31899F7D"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（一）固定资产投资1亿元以上的劳动密集型和制造加工为主的传统行业；</w:t>
      </w:r>
    </w:p>
    <w:p w14:paraId="07B844D9"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（二）固定资产投资3000万元以上（含3000万元，下同）、投资强度达到每亩300万元以上的高新技术项目和节能环保项目；</w:t>
      </w:r>
    </w:p>
    <w:p w14:paraId="4335E26B"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lastRenderedPageBreak/>
        <w:t>（三）固定资产投资2000万以上的大数据互联网产业、固定资产投资500万元以上的基于大数据产业的产品开发、应用、设计等项目；</w:t>
      </w:r>
    </w:p>
    <w:p w14:paraId="053BF572"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（四）固定资产投资2000万元以上的农副产品深加工项目、现代农业示范园项目和农业良种开发项目；</w:t>
      </w:r>
    </w:p>
    <w:p w14:paraId="6843D055"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（五）固定资产投资5000万元以上的现代服务业项目（不包括住宅和商铺开发）；</w:t>
      </w:r>
    </w:p>
    <w:p w14:paraId="0C9C3662"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（六）固定资产投资1亿元以上的公共基础设施项目；</w:t>
      </w:r>
    </w:p>
    <w:p w14:paraId="5FDEF77C"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（七）固定资产投资2000万元以上社会公益项目；</w:t>
      </w:r>
    </w:p>
    <w:p w14:paraId="07C93E7F"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（八）固定资产投资500万美元以上的外商投资项目；</w:t>
      </w:r>
    </w:p>
    <w:p w14:paraId="4E6F3792"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（九）可形成产业链条，促进运城转型发展的其它项目。</w:t>
      </w:r>
    </w:p>
    <w:p w14:paraId="1BB3C70A" w14:textId="77777777" w:rsidR="005301A9" w:rsidRDefault="005301A9" w:rsidP="005301A9">
      <w:pPr>
        <w:pStyle w:val="a5"/>
        <w:spacing w:before="0" w:beforeAutospacing="0" w:after="0" w:afterAutospacing="0" w:line="600"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shd w:val="clear" w:color="auto" w:fill="FFFFFF"/>
        </w:rPr>
        <w:t>第二章</w:t>
      </w:r>
      <w:r>
        <w:rPr>
          <w:rStyle w:val="a4"/>
          <w:rFonts w:ascii="Calibri" w:eastAsia="黑体" w:hAnsi="Calibri" w:cs="Calibri"/>
          <w:color w:val="333333"/>
          <w:sz w:val="32"/>
          <w:szCs w:val="32"/>
          <w:bdr w:val="none" w:sz="0" w:space="0" w:color="auto" w:frame="1"/>
          <w:shd w:val="clear" w:color="auto" w:fill="FFFFFF"/>
        </w:rPr>
        <w:t>  </w:t>
      </w:r>
      <w:r>
        <w:rPr>
          <w:rStyle w:val="a4"/>
          <w:rFonts w:ascii="黑体" w:eastAsia="黑体" w:hAnsi="黑体" w:cs="Arial" w:hint="eastAsia"/>
          <w:color w:val="333333"/>
          <w:sz w:val="32"/>
          <w:szCs w:val="32"/>
          <w:bdr w:val="none" w:sz="0" w:space="0" w:color="auto" w:frame="1"/>
          <w:shd w:val="clear" w:color="auto" w:fill="FFFFFF"/>
        </w:rPr>
        <w:t>优惠政策</w:t>
      </w:r>
    </w:p>
    <w:p w14:paraId="5AE78CCB"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shd w:val="clear" w:color="auto" w:fill="FFFFFF"/>
        </w:rPr>
        <w:t>第三条</w:t>
      </w:r>
      <w:r>
        <w:rPr>
          <w:rFonts w:ascii="仿宋_GB2312" w:eastAsia="仿宋_GB2312" w:hAnsi="Simsun" w:cs="Arial" w:hint="eastAsia"/>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工业项目</w:t>
      </w:r>
    </w:p>
    <w:p w14:paraId="00113080"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（一）工业项目用地以最低价标准为起始价，进行</w:t>
      </w:r>
      <w:proofErr w:type="gramStart"/>
      <w:r>
        <w:rPr>
          <w:rFonts w:ascii="仿宋_GB2312" w:eastAsia="仿宋_GB2312" w:hAnsi="Simsun" w:cs="Arial" w:hint="eastAsia"/>
          <w:color w:val="333333"/>
          <w:sz w:val="32"/>
          <w:szCs w:val="32"/>
          <w:bdr w:val="none" w:sz="0" w:space="0" w:color="auto" w:frame="1"/>
        </w:rPr>
        <w:t>招拍挂</w:t>
      </w:r>
      <w:proofErr w:type="gramEnd"/>
      <w:r>
        <w:rPr>
          <w:rFonts w:ascii="仿宋_GB2312" w:eastAsia="仿宋_GB2312" w:hAnsi="Simsun" w:cs="Arial" w:hint="eastAsia"/>
          <w:color w:val="333333"/>
          <w:sz w:val="32"/>
          <w:szCs w:val="32"/>
          <w:bdr w:val="none" w:sz="0" w:space="0" w:color="auto" w:frame="1"/>
        </w:rPr>
        <w:t>出让取得土地使用权。对我市确定优先发展的先进装备制造、农副产品加工、现代化工、生物医药、新材料、新能源等新兴产业集群项目，在确定土</w:t>
      </w:r>
      <w:r>
        <w:rPr>
          <w:rFonts w:ascii="仿宋_GB2312" w:eastAsia="仿宋_GB2312" w:hAnsi="Simsun" w:cs="Arial" w:hint="eastAsia"/>
          <w:color w:val="333333"/>
          <w:sz w:val="32"/>
          <w:szCs w:val="32"/>
          <w:bdr w:val="none" w:sz="0" w:space="0" w:color="auto" w:frame="1"/>
        </w:rPr>
        <w:lastRenderedPageBreak/>
        <w:t>地出让底价时，最低可按不低于所在地土地等别相对应全国工业用地出让最低标准的70%执行。</w:t>
      </w:r>
    </w:p>
    <w:p w14:paraId="2E7E4F6E"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（二）根据企业对地方经济发展所做的贡献，由市、县财政通过项目给予支持。</w:t>
      </w:r>
    </w:p>
    <w:p w14:paraId="3EB9F9E4" w14:textId="77777777" w:rsidR="005301A9" w:rsidRDefault="005301A9" w:rsidP="005301A9">
      <w:pPr>
        <w:pStyle w:val="a5"/>
        <w:spacing w:before="0" w:beforeAutospacing="0" w:after="0" w:afterAutospacing="0" w:line="645"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三）对转移到我市的加工贸易企业在转移过程中产生的搬迁费用，市、县（市、区）人民政府、开发区管委会给予一定比例的资金支持，最高支持金额不超过500万元。在矿产资源配置上，市、县给予最大支持，切实简化程序，加快手续办理。</w:t>
      </w:r>
    </w:p>
    <w:p w14:paraId="7FB47984" w14:textId="77777777" w:rsidR="005301A9" w:rsidRDefault="005301A9" w:rsidP="005301A9">
      <w:pPr>
        <w:pStyle w:val="a5"/>
        <w:spacing w:before="0" w:beforeAutospacing="0" w:after="0" w:afterAutospacing="0" w:line="645"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（四）在省级以上开发区内建设的工业项目，政府基金收取标准按</w:t>
      </w:r>
      <w:r>
        <w:rPr>
          <w:rFonts w:ascii="仿宋_GB2312" w:eastAsia="仿宋_GB2312" w:hAnsi="Simsun" w:cs="Arial" w:hint="eastAsia"/>
          <w:color w:val="333333"/>
          <w:sz w:val="30"/>
          <w:szCs w:val="30"/>
          <w:bdr w:val="none" w:sz="0" w:space="0" w:color="auto" w:frame="1"/>
        </w:rPr>
        <w:t>Ⅲ</w:t>
      </w:r>
      <w:r>
        <w:rPr>
          <w:rFonts w:ascii="仿宋_GB2312" w:eastAsia="仿宋_GB2312" w:hAnsi="Simsun" w:cs="Arial" w:hint="eastAsia"/>
          <w:color w:val="333333"/>
          <w:sz w:val="32"/>
          <w:szCs w:val="32"/>
          <w:bdr w:val="none" w:sz="0" w:space="0" w:color="auto" w:frame="1"/>
        </w:rPr>
        <w:t>级地段征收。</w:t>
      </w:r>
    </w:p>
    <w:p w14:paraId="49A6A70D"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 w:eastAsia="仿宋" w:hAnsi="仿宋" w:cs="Arial" w:hint="eastAsia"/>
          <w:color w:val="333333"/>
          <w:sz w:val="32"/>
          <w:szCs w:val="32"/>
          <w:bdr w:val="none" w:sz="0" w:space="0" w:color="auto" w:frame="1"/>
        </w:rPr>
        <w:t xml:space="preserve"> </w:t>
      </w:r>
      <w:r>
        <w:rPr>
          <w:rFonts w:ascii="Calibri" w:eastAsia="仿宋" w:hAnsi="Calibri" w:cs="Calibri"/>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第四条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农业项目</w:t>
      </w:r>
    </w:p>
    <w:p w14:paraId="19637F5B"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 w:eastAsia="仿宋" w:hAnsi="仿宋" w:cs="Arial" w:hint="eastAsia"/>
          <w:color w:val="333333"/>
          <w:sz w:val="32"/>
          <w:szCs w:val="32"/>
          <w:bdr w:val="none" w:sz="0" w:space="0" w:color="auto" w:frame="1"/>
        </w:rPr>
        <w:t>（一）</w:t>
      </w:r>
      <w:r>
        <w:rPr>
          <w:rFonts w:ascii="仿宋_GB2312" w:eastAsia="仿宋_GB2312" w:hAnsi="Simsun" w:cs="Arial" w:hint="eastAsia"/>
          <w:color w:val="333333"/>
          <w:sz w:val="32"/>
          <w:szCs w:val="32"/>
          <w:bdr w:val="none" w:sz="0" w:space="0" w:color="auto" w:frame="1"/>
        </w:rPr>
        <w:t>农副产品初加工项目在确定土地出让底价时，最低可按不低于所在地土地等别相对应全国工业用地出让最低标准的70%执行。</w:t>
      </w:r>
    </w:p>
    <w:p w14:paraId="1919938A"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（二）对生产粮食、蔬菜、肉类、水果等人们基本生活必需品的企业，以及从事花卉、饮料作物和内陆养殖的企业，根据企业对地方经济发展所做的贡献，由市、县财政通过项目给予支持。</w:t>
      </w:r>
    </w:p>
    <w:p w14:paraId="053DC192"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 w:eastAsia="仿宋" w:hAnsi="仿宋" w:cs="Arial" w:hint="eastAsia"/>
          <w:color w:val="333333"/>
          <w:sz w:val="32"/>
          <w:szCs w:val="32"/>
          <w:bdr w:val="none" w:sz="0" w:space="0" w:color="auto" w:frame="1"/>
        </w:rPr>
        <w:t xml:space="preserve"> </w:t>
      </w:r>
      <w:r>
        <w:rPr>
          <w:rFonts w:ascii="Calibri" w:eastAsia="仿宋" w:hAnsi="Calibri" w:cs="Calibri"/>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第五条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现代服务业项目</w:t>
      </w:r>
    </w:p>
    <w:p w14:paraId="2D37A680" w14:textId="77777777" w:rsidR="005301A9" w:rsidRDefault="005301A9" w:rsidP="005301A9">
      <w:pPr>
        <w:pStyle w:val="a5"/>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（一）凡一次性新建面积在10万平方米以上，且自营超过40%的大型商业综合体；兴建单个项目投资额</w:t>
      </w:r>
      <w:r>
        <w:rPr>
          <w:rFonts w:ascii="仿宋_GB2312" w:eastAsia="仿宋_GB2312" w:hAnsi="Simsun" w:cs="Arial" w:hint="eastAsia"/>
          <w:color w:val="333333"/>
          <w:sz w:val="32"/>
          <w:szCs w:val="32"/>
          <w:bdr w:val="none" w:sz="0" w:space="0" w:color="auto" w:frame="1"/>
          <w:shd w:val="clear" w:color="auto" w:fill="FFFFFF"/>
        </w:rPr>
        <w:lastRenderedPageBreak/>
        <w:t>达到1亿元以上的大型酒店项目，</w:t>
      </w:r>
      <w:r>
        <w:rPr>
          <w:rFonts w:ascii="仿宋_GB2312" w:eastAsia="仿宋_GB2312" w:hAnsi="Simsun" w:cs="Arial" w:hint="eastAsia"/>
          <w:color w:val="333333"/>
          <w:sz w:val="32"/>
          <w:szCs w:val="32"/>
          <w:bdr w:val="none" w:sz="0" w:space="0" w:color="auto" w:frame="1"/>
        </w:rPr>
        <w:t>在确定土地出让底价时，可按不低于所在地土地等别基准地价的80%执行。</w:t>
      </w:r>
    </w:p>
    <w:p w14:paraId="4AFB59A3"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（二）新建的大型商业综合体、大型物流项目，根据企业对地方经济发展所做的贡献，由市、县财政通过项目给予支持。</w:t>
      </w:r>
    </w:p>
    <w:p w14:paraId="27AA9397"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（三）对单个投资额度超过5000万元的文化旅游项目，</w:t>
      </w:r>
      <w:proofErr w:type="gramStart"/>
      <w:r>
        <w:rPr>
          <w:rFonts w:ascii="仿宋_GB2312" w:eastAsia="仿宋_GB2312" w:hAnsi="Simsun" w:cs="Arial" w:hint="eastAsia"/>
          <w:color w:val="333333"/>
          <w:sz w:val="32"/>
          <w:szCs w:val="32"/>
          <w:bdr w:val="none" w:sz="0" w:space="0" w:color="auto" w:frame="1"/>
        </w:rPr>
        <w:t>自项目</w:t>
      </w:r>
      <w:proofErr w:type="gramEnd"/>
      <w:r>
        <w:rPr>
          <w:rFonts w:ascii="仿宋_GB2312" w:eastAsia="仿宋_GB2312" w:hAnsi="Simsun" w:cs="Arial" w:hint="eastAsia"/>
          <w:color w:val="333333"/>
          <w:sz w:val="32"/>
          <w:szCs w:val="32"/>
          <w:bdr w:val="none" w:sz="0" w:space="0" w:color="auto" w:frame="1"/>
        </w:rPr>
        <w:t>建成运行之日起，市政府给予200万元奖励，</w:t>
      </w:r>
      <w:proofErr w:type="gramStart"/>
      <w:r>
        <w:rPr>
          <w:rFonts w:ascii="仿宋_GB2312" w:eastAsia="仿宋_GB2312" w:hAnsi="Simsun" w:cs="Arial" w:hint="eastAsia"/>
          <w:color w:val="333333"/>
          <w:sz w:val="32"/>
          <w:szCs w:val="32"/>
          <w:bdr w:val="none" w:sz="0" w:space="0" w:color="auto" w:frame="1"/>
        </w:rPr>
        <w:t>以此上</w:t>
      </w:r>
      <w:proofErr w:type="gramEnd"/>
      <w:r>
        <w:rPr>
          <w:rFonts w:ascii="仿宋_GB2312" w:eastAsia="仿宋_GB2312" w:hAnsi="Simsun" w:cs="Arial" w:hint="eastAsia"/>
          <w:color w:val="333333"/>
          <w:sz w:val="32"/>
          <w:szCs w:val="32"/>
          <w:bdr w:val="none" w:sz="0" w:space="0" w:color="auto" w:frame="1"/>
        </w:rPr>
        <w:t>推，总奖金不超过500万元，分三年按40%、30%、30%比例发放。</w:t>
      </w:r>
    </w:p>
    <w:p w14:paraId="55ECC55F" w14:textId="77777777" w:rsidR="005301A9" w:rsidRDefault="005301A9" w:rsidP="005301A9">
      <w:pPr>
        <w:pStyle w:val="a5"/>
        <w:spacing w:before="0" w:beforeAutospacing="0" w:after="0" w:afterAutospacing="0" w:line="36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（四）</w:t>
      </w:r>
      <w:r>
        <w:rPr>
          <w:rFonts w:ascii="仿宋_GB2312" w:eastAsia="仿宋_GB2312" w:hAnsi="Simsun" w:cs="Arial" w:hint="eastAsia"/>
          <w:color w:val="333333"/>
          <w:sz w:val="32"/>
          <w:szCs w:val="32"/>
          <w:bdr w:val="none" w:sz="0" w:space="0" w:color="auto" w:frame="1"/>
        </w:rPr>
        <w:t>对新引进的持牌金融机构及其子公司，包括新引进的股权投资、风险投资、天使投资等投资基金（机构）及其管理企业，根据其投资规模、实到资金（募集资金）、行业排名、投资本市企业情况、经济贡献等，给予一次性补贴，最高500万元，分三年按40%、30%、30%比例发放。</w:t>
      </w:r>
    </w:p>
    <w:p w14:paraId="775CAC38" w14:textId="77777777" w:rsidR="005301A9" w:rsidRDefault="005301A9" w:rsidP="005301A9">
      <w:pPr>
        <w:pStyle w:val="a5"/>
        <w:spacing w:before="0" w:beforeAutospacing="0" w:after="0" w:afterAutospacing="0" w:line="36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五）快递专业类物流园区或具备快递服务功能的物流园区及快递企业改扩建的分拨处理场所的服务设施，新增投资额100万元以上（不含土地价款）、快递企业用地面积占总用地面积的60%以上、运营1年以上且未发生重大安全事故的，按新增投资额10%的标准给予最高50万元补助。首次评定为4A、5A级的</w:t>
      </w:r>
      <w:r>
        <w:rPr>
          <w:rFonts w:ascii="仿宋_GB2312" w:eastAsia="仿宋_GB2312" w:hAnsi="Simsun" w:cs="Arial" w:hint="eastAsia"/>
          <w:color w:val="333333"/>
          <w:sz w:val="32"/>
          <w:szCs w:val="32"/>
          <w:bdr w:val="none" w:sz="0" w:space="0" w:color="auto" w:frame="1"/>
        </w:rPr>
        <w:lastRenderedPageBreak/>
        <w:t>物流企业、快递企业，分别给予20万元、50万元奖励。</w:t>
      </w:r>
    </w:p>
    <w:p w14:paraId="3947D0F6"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第六条</w:t>
      </w:r>
      <w:r>
        <w:rPr>
          <w:rStyle w:val="a4"/>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地区总部项目</w:t>
      </w:r>
    </w:p>
    <w:p w14:paraId="13284782"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（一）地区总部项目</w:t>
      </w:r>
      <w:r>
        <w:rPr>
          <w:rFonts w:ascii="仿宋" w:eastAsia="仿宋" w:hAnsi="仿宋" w:cs="Arial" w:hint="eastAsia"/>
          <w:color w:val="333333"/>
          <w:sz w:val="32"/>
          <w:szCs w:val="32"/>
          <w:bdr w:val="none" w:sz="0" w:space="0" w:color="auto" w:frame="1"/>
        </w:rPr>
        <w:t>是指在本市注册并依法开展经营活动，对其控股企业或分支机构行使管理和服务职能的企业法人机构，总部企业的投资主体、</w:t>
      </w:r>
      <w:hyperlink r:id="rId4" w:history="1">
        <w:r>
          <w:rPr>
            <w:rStyle w:val="a3"/>
            <w:rFonts w:ascii="仿宋" w:eastAsia="仿宋" w:hAnsi="仿宋" w:cs="Arial" w:hint="eastAsia"/>
            <w:color w:val="000000"/>
            <w:sz w:val="32"/>
            <w:szCs w:val="32"/>
          </w:rPr>
          <w:t>经济</w:t>
        </w:r>
      </w:hyperlink>
      <w:r>
        <w:rPr>
          <w:rFonts w:ascii="仿宋" w:eastAsia="仿宋" w:hAnsi="仿宋" w:cs="Arial" w:hint="eastAsia"/>
          <w:color w:val="333333"/>
          <w:sz w:val="32"/>
          <w:szCs w:val="32"/>
          <w:bdr w:val="none" w:sz="0" w:space="0" w:color="auto" w:frame="1"/>
        </w:rPr>
        <w:t>性质不限。具体标准是：</w:t>
      </w:r>
      <w:r>
        <w:rPr>
          <w:rFonts w:ascii="仿宋_GB2312" w:eastAsia="仿宋_GB2312" w:hAnsi="Simsun" w:cs="Arial" w:hint="eastAsia"/>
          <w:color w:val="333333"/>
          <w:sz w:val="32"/>
          <w:szCs w:val="32"/>
          <w:bdr w:val="none" w:sz="0" w:space="0" w:color="auto" w:frame="1"/>
        </w:rPr>
        <w:t>在运城市范围注册，具有独立法人资格，实行统一核算，依法诚信经营；符合本市产业发展方向；本市外分支机构原则上不少于</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 xml:space="preserve">3 </w:t>
      </w:r>
      <w:proofErr w:type="gramStart"/>
      <w:r>
        <w:rPr>
          <w:rFonts w:ascii="仿宋_GB2312" w:eastAsia="仿宋_GB2312" w:hAnsi="Simsun" w:cs="Arial" w:hint="eastAsia"/>
          <w:color w:val="333333"/>
          <w:sz w:val="32"/>
          <w:szCs w:val="32"/>
          <w:bdr w:val="none" w:sz="0" w:space="0" w:color="auto" w:frame="1"/>
        </w:rPr>
        <w:t>个</w:t>
      </w:r>
      <w:proofErr w:type="gramEnd"/>
      <w:r>
        <w:rPr>
          <w:rFonts w:ascii="仿宋_GB2312" w:eastAsia="仿宋_GB2312" w:hAnsi="Simsun" w:cs="Arial" w:hint="eastAsia"/>
          <w:color w:val="333333"/>
          <w:sz w:val="32"/>
          <w:szCs w:val="32"/>
          <w:bdr w:val="none" w:sz="0" w:space="0" w:color="auto" w:frame="1"/>
        </w:rPr>
        <w:t>，且对其负有管理和服务职能，统一开票或汇总缴纳税收；全资和控股企业，或者与本企业隶属于同一实际控制人，并由本企业提供专</w:t>
      </w:r>
      <w:proofErr w:type="gramStart"/>
      <w:r>
        <w:rPr>
          <w:rFonts w:ascii="仿宋_GB2312" w:eastAsia="仿宋_GB2312" w:hAnsi="Simsun" w:cs="Arial" w:hint="eastAsia"/>
          <w:color w:val="333333"/>
          <w:sz w:val="32"/>
          <w:szCs w:val="32"/>
          <w:bdr w:val="none" w:sz="0" w:space="0" w:color="auto" w:frame="1"/>
        </w:rPr>
        <w:t>属职能</w:t>
      </w:r>
      <w:proofErr w:type="gramEnd"/>
      <w:r>
        <w:rPr>
          <w:rFonts w:ascii="仿宋_GB2312" w:eastAsia="仿宋_GB2312" w:hAnsi="Simsun" w:cs="Arial" w:hint="eastAsia"/>
          <w:color w:val="333333"/>
          <w:sz w:val="32"/>
          <w:szCs w:val="32"/>
          <w:bdr w:val="none" w:sz="0" w:space="0" w:color="auto" w:frame="1"/>
        </w:rPr>
        <w:t>服务的关联企业原则上不少于</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 xml:space="preserve">3 </w:t>
      </w:r>
      <w:proofErr w:type="gramStart"/>
      <w:r>
        <w:rPr>
          <w:rFonts w:ascii="仿宋_GB2312" w:eastAsia="仿宋_GB2312" w:hAnsi="Simsun" w:cs="Arial" w:hint="eastAsia"/>
          <w:color w:val="333333"/>
          <w:sz w:val="32"/>
          <w:szCs w:val="32"/>
          <w:bdr w:val="none" w:sz="0" w:space="0" w:color="auto" w:frame="1"/>
        </w:rPr>
        <w:t>个</w:t>
      </w:r>
      <w:proofErr w:type="gramEnd"/>
      <w:r>
        <w:rPr>
          <w:rFonts w:ascii="仿宋_GB2312" w:eastAsia="仿宋_GB2312" w:hAnsi="Simsun" w:cs="Arial" w:hint="eastAsia"/>
          <w:color w:val="333333"/>
          <w:sz w:val="32"/>
          <w:szCs w:val="32"/>
          <w:bdr w:val="none" w:sz="0" w:space="0" w:color="auto" w:frame="1"/>
        </w:rPr>
        <w:t>，且本企业营业收入的 30%以上来自前述关联企业；商务部认定或备案的跨国</w:t>
      </w:r>
      <w:hyperlink r:id="rId5" w:history="1">
        <w:r>
          <w:rPr>
            <w:rStyle w:val="a3"/>
            <w:rFonts w:ascii="仿宋_GB2312" w:eastAsia="仿宋_GB2312" w:hAnsi="Simsun" w:cs="Arial" w:hint="eastAsia"/>
            <w:color w:val="000000"/>
            <w:sz w:val="32"/>
            <w:szCs w:val="32"/>
          </w:rPr>
          <w:t>公司</w:t>
        </w:r>
      </w:hyperlink>
      <w:r>
        <w:rPr>
          <w:rFonts w:ascii="仿宋_GB2312" w:eastAsia="仿宋_GB2312" w:hAnsi="Simsun" w:cs="Arial" w:hint="eastAsia"/>
          <w:color w:val="333333"/>
          <w:sz w:val="32"/>
          <w:szCs w:val="32"/>
          <w:bdr w:val="none" w:sz="0" w:space="0" w:color="auto" w:frame="1"/>
        </w:rPr>
        <w:t>地区总部，即符合《关于</w:t>
      </w:r>
      <w:hyperlink r:id="rId6" w:history="1">
        <w:r>
          <w:rPr>
            <w:rStyle w:val="a3"/>
            <w:rFonts w:ascii="仿宋_GB2312" w:eastAsia="仿宋_GB2312" w:hAnsi="Simsun" w:cs="Arial" w:hint="eastAsia"/>
            <w:color w:val="000000"/>
            <w:sz w:val="32"/>
            <w:szCs w:val="32"/>
          </w:rPr>
          <w:t>外商投资</w:t>
        </w:r>
      </w:hyperlink>
      <w:r>
        <w:rPr>
          <w:rFonts w:ascii="仿宋_GB2312" w:eastAsia="仿宋_GB2312" w:hAnsi="Simsun" w:cs="Arial" w:hint="eastAsia"/>
          <w:color w:val="333333"/>
          <w:sz w:val="32"/>
          <w:szCs w:val="32"/>
          <w:bdr w:val="none" w:sz="0" w:space="0" w:color="auto" w:frame="1"/>
        </w:rPr>
        <w:t>举办投资性</w:t>
      </w:r>
      <w:hyperlink r:id="rId7" w:history="1">
        <w:r>
          <w:rPr>
            <w:rStyle w:val="a3"/>
            <w:rFonts w:ascii="仿宋_GB2312" w:eastAsia="仿宋_GB2312" w:hAnsi="Simsun" w:cs="Arial" w:hint="eastAsia"/>
            <w:color w:val="000000"/>
            <w:sz w:val="32"/>
            <w:szCs w:val="32"/>
          </w:rPr>
          <w:t>公司</w:t>
        </w:r>
      </w:hyperlink>
      <w:r>
        <w:rPr>
          <w:rFonts w:ascii="仿宋_GB2312" w:eastAsia="仿宋_GB2312" w:hAnsi="Simsun" w:cs="Arial" w:hint="eastAsia"/>
          <w:color w:val="333333"/>
          <w:sz w:val="32"/>
          <w:szCs w:val="32"/>
          <w:bdr w:val="none" w:sz="0" w:space="0" w:color="auto" w:frame="1"/>
        </w:rPr>
        <w:t>的规定》（商务部令2004年第22号）对跨国</w:t>
      </w:r>
      <w:hyperlink r:id="rId8" w:history="1">
        <w:r>
          <w:rPr>
            <w:rStyle w:val="a3"/>
            <w:rFonts w:ascii="仿宋_GB2312" w:eastAsia="仿宋_GB2312" w:hAnsi="Simsun" w:cs="Arial" w:hint="eastAsia"/>
            <w:color w:val="000000"/>
            <w:sz w:val="32"/>
            <w:szCs w:val="32"/>
          </w:rPr>
          <w:t>公司</w:t>
        </w:r>
      </w:hyperlink>
      <w:r>
        <w:rPr>
          <w:rFonts w:ascii="仿宋_GB2312" w:eastAsia="仿宋_GB2312" w:hAnsi="Simsun" w:cs="Arial" w:hint="eastAsia"/>
          <w:color w:val="333333"/>
          <w:sz w:val="32"/>
          <w:szCs w:val="32"/>
          <w:bdr w:val="none" w:sz="0" w:space="0" w:color="auto" w:frame="1"/>
        </w:rPr>
        <w:t>地区总部规定的企业；上市</w:t>
      </w:r>
      <w:hyperlink r:id="rId9" w:history="1">
        <w:r>
          <w:rPr>
            <w:rStyle w:val="a3"/>
            <w:rFonts w:ascii="仿宋_GB2312" w:eastAsia="仿宋_GB2312" w:hAnsi="Simsun" w:cs="Arial" w:hint="eastAsia"/>
            <w:color w:val="000000"/>
            <w:sz w:val="32"/>
            <w:szCs w:val="32"/>
          </w:rPr>
          <w:t>公司</w:t>
        </w:r>
      </w:hyperlink>
      <w:r>
        <w:rPr>
          <w:rFonts w:ascii="仿宋_GB2312" w:eastAsia="仿宋_GB2312" w:hAnsi="Simsun" w:cs="Arial" w:hint="eastAsia"/>
          <w:color w:val="333333"/>
          <w:sz w:val="32"/>
          <w:szCs w:val="32"/>
          <w:bdr w:val="none" w:sz="0" w:space="0" w:color="auto" w:frame="1"/>
        </w:rPr>
        <w:t>；国家和中央部门确定的大企业（集团），即国务院国资委管理的企业，银监会、保监会、证监会管理的金融企业，国务院其他部委管理的烟草、铁路、石化等企业在运城设立的全国总部或区域性总部；上一年度美国《财富》杂志评选公布的全球最大500家</w:t>
      </w:r>
      <w:hyperlink r:id="rId10" w:history="1">
        <w:r>
          <w:rPr>
            <w:rStyle w:val="a3"/>
            <w:rFonts w:ascii="仿宋_GB2312" w:eastAsia="仿宋_GB2312" w:hAnsi="Simsun" w:cs="Arial" w:hint="eastAsia"/>
            <w:color w:val="000000"/>
            <w:sz w:val="32"/>
            <w:szCs w:val="32"/>
          </w:rPr>
          <w:t>公司</w:t>
        </w:r>
      </w:hyperlink>
      <w:r>
        <w:rPr>
          <w:rFonts w:ascii="仿宋_GB2312" w:eastAsia="仿宋_GB2312" w:hAnsi="Simsun" w:cs="Arial" w:hint="eastAsia"/>
          <w:color w:val="333333"/>
          <w:sz w:val="32"/>
          <w:szCs w:val="32"/>
          <w:bdr w:val="none" w:sz="0" w:space="0" w:color="auto" w:frame="1"/>
        </w:rPr>
        <w:t>的中国总部、或在华区域总部；</w:t>
      </w:r>
      <w:r>
        <w:rPr>
          <w:rFonts w:ascii="仿宋_GB2312" w:eastAsia="仿宋_GB2312" w:hAnsi="Simsun" w:cs="Arial" w:hint="eastAsia"/>
          <w:color w:val="333333"/>
          <w:sz w:val="32"/>
          <w:szCs w:val="32"/>
          <w:bdr w:val="none" w:sz="0" w:space="0" w:color="auto" w:frame="1"/>
        </w:rPr>
        <w:lastRenderedPageBreak/>
        <w:t>上一年度中国企业联合会、中国企业家协会、全国工商联和中国连锁经营协会发布的中国企业500强，国内民营企业100强，中国连锁企业100强。</w:t>
      </w:r>
      <w:r>
        <w:rPr>
          <w:rFonts w:ascii="仿宋_GB2312" w:eastAsia="仿宋_GB2312" w:hAnsi="Simsun" w:cs="Arial" w:hint="eastAsia"/>
          <w:b/>
          <w:bCs/>
          <w:color w:val="333333"/>
          <w:sz w:val="2"/>
          <w:szCs w:val="2"/>
          <w:bdr w:val="none" w:sz="0" w:space="0" w:color="auto" w:frame="1"/>
          <w:shd w:val="clear" w:color="auto" w:fill="D9D9D9"/>
        </w:rPr>
        <w:br w:type="textWrapping" w:clear="all"/>
      </w:r>
      <w:r>
        <w:rPr>
          <w:rFonts w:ascii="仿宋_GB2312" w:eastAsia="仿宋_GB2312" w:hAnsi="Simsun" w:cs="Arial" w:hint="eastAsia"/>
          <w:color w:val="333333"/>
          <w:sz w:val="32"/>
          <w:szCs w:val="32"/>
          <w:bdr w:val="none" w:sz="0" w:space="0" w:color="auto" w:frame="1"/>
        </w:rPr>
        <w:t xml:space="preserve">　　</w:t>
      </w:r>
      <w:r>
        <w:rPr>
          <w:rFonts w:ascii="仿宋" w:eastAsia="仿宋" w:hAnsi="仿宋" w:cs="Arial" w:hint="eastAsia"/>
          <w:color w:val="333333"/>
          <w:sz w:val="32"/>
          <w:szCs w:val="32"/>
          <w:bdr w:val="none" w:sz="0" w:space="0" w:color="auto" w:frame="1"/>
        </w:rPr>
        <w:t>（二）</w:t>
      </w:r>
      <w:r>
        <w:rPr>
          <w:rFonts w:ascii="仿宋_GB2312" w:eastAsia="仿宋_GB2312" w:hAnsi="Simsun" w:cs="Arial" w:hint="eastAsia"/>
          <w:color w:val="333333"/>
          <w:sz w:val="32"/>
          <w:szCs w:val="32"/>
          <w:bdr w:val="none" w:sz="0" w:space="0" w:color="auto" w:frame="1"/>
        </w:rPr>
        <w:t>对2017年1月1日以后在我市成立地区总部，年营业额首次超过1亿元的投资性公司，给予100万元奖励。年营业额首次超过5000万元的管理性公司，给予50万元奖励。</w:t>
      </w:r>
    </w:p>
    <w:p w14:paraId="0B4C0D69"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Style w:val="a4"/>
          <w:rFonts w:ascii="Calibri" w:eastAsia="仿宋" w:hAnsi="Calibri" w:cs="Calibri"/>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第七条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大数据互联网项目</w:t>
      </w:r>
    </w:p>
    <w:p w14:paraId="7FAB3E0C" w14:textId="77777777" w:rsidR="005301A9" w:rsidRDefault="005301A9" w:rsidP="005301A9">
      <w:pPr>
        <w:pStyle w:val="a5"/>
        <w:spacing w:before="0" w:beforeAutospacing="0" w:after="0" w:afterAutospacing="0" w:line="600" w:lineRule="atLeast"/>
        <w:ind w:left="114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（一）鼓励相关部门、行业、企业在我市设立数据中心，</w:t>
      </w:r>
    </w:p>
    <w:p w14:paraId="67784872" w14:textId="77777777" w:rsidR="005301A9" w:rsidRDefault="005301A9" w:rsidP="005301A9">
      <w:pPr>
        <w:pStyle w:val="a5"/>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优先保障土地供应。</w:t>
      </w:r>
      <w:r>
        <w:rPr>
          <w:rFonts w:ascii="仿宋_GB2312" w:eastAsia="仿宋_GB2312" w:hAnsi="Simsun" w:cs="Arial" w:hint="eastAsia"/>
          <w:color w:val="333333"/>
          <w:sz w:val="32"/>
          <w:szCs w:val="32"/>
          <w:bdr w:val="none" w:sz="0" w:space="0" w:color="auto" w:frame="1"/>
          <w:shd w:val="clear" w:color="auto" w:fill="FFFFFF"/>
        </w:rPr>
        <w:t>鼓励利用工厂厂房、仓储用房等存量房产和土地资源创办大数据企业，凡符合城市总体规划和相关规定的，可实行继续按原用途和土地权利类型使用土地的过渡期政策，过渡期政策以5年为限。土地用途改变为其他经营性用地或企业产权交易变更时，要依法补交土地出让金。鼓励改造利用废弃土地建设大数据项目，经批准整治的土地和改造废弃土地，从使用当月起免缴土地使用税10年。对在我市投资新建5亿元以上的数据中心项目，涉及国有土地使用权出让收益，按规定计提各种专项资金后，土地出让收益地方留存部分，用于支持项目建设。</w:t>
      </w:r>
    </w:p>
    <w:p w14:paraId="0C802172"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rPr>
        <w:lastRenderedPageBreak/>
        <w:t>   </w:t>
      </w:r>
      <w:r>
        <w:rPr>
          <w:rFonts w:ascii="仿宋_GB2312" w:eastAsia="仿宋_GB2312" w:hAnsi="Simsun" w:cs="Arial" w:hint="eastAsia"/>
          <w:color w:val="333333"/>
          <w:sz w:val="32"/>
          <w:szCs w:val="32"/>
          <w:bdr w:val="none" w:sz="0" w:space="0" w:color="auto" w:frame="1"/>
        </w:rPr>
        <w:t>（二）以大数据软件开发为主营业务的企业销售自行开发的软件产品，按照17%税率征收增值税后，对其增值税实际税负超过3%的部分实行即征即退政策；国家规划布局内的重点软件企业，如当年未享受免税优惠的，减按10%的税率征收企业所得税。</w:t>
      </w:r>
    </w:p>
    <w:p w14:paraId="2A8FD8B3"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（三）根据企业对地方经济发展所做的贡献，由市、县财政通过项目给予支持。</w:t>
      </w:r>
    </w:p>
    <w:p w14:paraId="6B790D09"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（四）对落地我市的大型数据中心，原则上设定目标电价为0.35元/千瓦时。达不到目标电价的，由市、县参照数据中心当年缴纳税费的地方留存部分给予相应支持，不足部分由市政府予以支持。</w:t>
      </w:r>
    </w:p>
    <w:p w14:paraId="1DF61373"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（五）在我市设立的大数据产业发生严重亏损，缴纳房产税、城镇土地使用税确有困难的，在规定时限内提出申请，经批准可定期减免税。</w:t>
      </w:r>
    </w:p>
    <w:p w14:paraId="0454DBF4"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六）大数据企业符合税法规定的新技术、新产品、新工艺研发费用，未形成无形资产计入当期损益的，在按规定据实扣除的基础上，再按照研发费用的50%加计扣除；形成无形资产的，按照无形资产成本的150%摊销。</w:t>
      </w:r>
    </w:p>
    <w:p w14:paraId="4686C375"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（七）整合市直各部门信息化专项资金，设立市级促进大数据发展应用专项资金，支持全市大数据发展。</w:t>
      </w:r>
    </w:p>
    <w:p w14:paraId="3B05329A"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lastRenderedPageBreak/>
        <w:t>（八）鼓励初创大数据企业入驻政府投资建设的标准厂房和办公用房，市政府按年给予办公场地租金补贴。其中，300平方米以内免房租；300平方米至1000平方米房租减半补贴，补贴期不超过3年。</w:t>
      </w:r>
    </w:p>
    <w:p w14:paraId="51730247"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九）对在我市新设立从事大数据创新应用业务或以大数据配套电子信息产品生产为主营业务（主营收入占总收入70%以上）的独立法人，自取得第一笔生产经营收入所属纳税年度起3年内,参照企业所得税地方部分给予相应支持。</w:t>
      </w:r>
    </w:p>
    <w:p w14:paraId="442B50CF"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十）世界500强、国内电子信息百强以及国家规划布局内重点软件（集成电路设计）企业在我市落户并投资5亿元以上发展大数据业务，竣工验收后投产并正常运行一个会计年度以上的，经认定给予500万元～1000万元一次性奖励。同时，每年按其税收增量部分给予企业奖励。</w:t>
      </w:r>
    </w:p>
    <w:p w14:paraId="4CC7E812"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十一）鼓励政策性担保机构加大对大数据产业知识产权质押贷款的担保支持力度，在担保风险分担比例和担保费率等方面给予最大限度支持。同时，对于资信良好、成长性好且经营规范的大数据企业，流动资金贷款200万元（含）以上的，按照当年新增流动资金贷款的5%给予贴息，每户企业每年最高不超过500万元。</w:t>
      </w:r>
    </w:p>
    <w:p w14:paraId="2C1ED055"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lastRenderedPageBreak/>
        <w:t>（十二）鼓励自主创新，对自主创新能力强、形成核心自主知识产权并快速产业化、产生良好经济和社会效益的大数据项目，给予不超过100万元奖励。</w:t>
      </w:r>
    </w:p>
    <w:p w14:paraId="352B25E5"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（十三）对牵头制定大数据国际标准、国家标准、行业标准和地方标准的企业或单位，在标准公告并执行后分别给予50万元、30万元、20万元和10万元奖励。</w:t>
      </w:r>
    </w:p>
    <w:p w14:paraId="535993F0" w14:textId="77777777" w:rsidR="005301A9" w:rsidRDefault="005301A9" w:rsidP="005301A9">
      <w:pPr>
        <w:pStyle w:val="a5"/>
        <w:shd w:val="clear" w:color="auto" w:fill="FFFFFF"/>
        <w:spacing w:before="0" w:beforeAutospacing="0" w:after="0" w:afterAutospacing="0" w:line="600" w:lineRule="atLeast"/>
        <w:ind w:left="720" w:firstLine="645"/>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十四）我市大数据企业或研究机构，新认定为国家（国家地方联合）工程研究中心（工程实验室）的，给予一次性500万元奖励；新认定为国家级、省级工程技术研究中心、重点实验室的，分别给予一次性500万元、150万元奖励;新认定为国家级、省级企业技术中心的，分别给予一次性100万元、50万元奖励；新认定为高新技术企业的，给予一次性100万元奖励；新获得“国家知识产权示范企业”和“国家知识产权优势企业”的,分别给予一次性50万元、20万元奖励。</w:t>
      </w:r>
    </w:p>
    <w:p w14:paraId="2E8D3E8C"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 w:eastAsia="仿宋" w:hAnsi="仿宋" w:cs="Arial" w:hint="eastAsia"/>
          <w:color w:val="333333"/>
          <w:sz w:val="32"/>
          <w:szCs w:val="32"/>
          <w:bdr w:val="none" w:sz="0" w:space="0" w:color="auto" w:frame="1"/>
        </w:rPr>
        <w:t xml:space="preserve">　</w:t>
      </w:r>
      <w:r>
        <w:rPr>
          <w:rFonts w:ascii="Calibri" w:eastAsia="仿宋" w:hAnsi="Calibri" w:cs="Calibri"/>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第八条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公共基础设施和社会事业项目</w:t>
      </w:r>
    </w:p>
    <w:p w14:paraId="7BA54AF6"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 xml:space="preserve"> （一）属于国家《拨供用地目录》范围内的非盈利性社会事业项目，可以采取行政划拨方式提供用地。</w:t>
      </w:r>
    </w:p>
    <w:p w14:paraId="0F39B1DC" w14:textId="77777777" w:rsidR="005301A9" w:rsidRDefault="005301A9" w:rsidP="005301A9">
      <w:pPr>
        <w:pStyle w:val="a5"/>
        <w:shd w:val="clear" w:color="auto" w:fill="FFFFFF"/>
        <w:spacing w:before="0" w:beforeAutospacing="0" w:after="0" w:afterAutospacing="0" w:line="60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lastRenderedPageBreak/>
        <w:t>   </w:t>
      </w:r>
      <w:r>
        <w:rPr>
          <w:rFonts w:ascii="仿宋_GB2312" w:eastAsia="仿宋_GB2312" w:hAnsi="Simsun" w:cs="Arial" w:hint="eastAsia"/>
          <w:color w:val="333333"/>
          <w:sz w:val="32"/>
          <w:szCs w:val="32"/>
          <w:bdr w:val="none" w:sz="0" w:space="0" w:color="auto" w:frame="1"/>
        </w:rPr>
        <w:t>（二）从事国家重点扶持的公共基础设施项目和符合条件的环境保护、节能节水项目，根据企业对地方经济发展所做的贡献，由市、县财政通过项目给予支持。</w:t>
      </w:r>
    </w:p>
    <w:p w14:paraId="33690D61" w14:textId="77777777" w:rsidR="005301A9" w:rsidRDefault="005301A9" w:rsidP="005301A9">
      <w:pPr>
        <w:pStyle w:val="a5"/>
        <w:spacing w:before="0" w:beforeAutospacing="0" w:after="0" w:afterAutospacing="0" w:line="600" w:lineRule="atLeast"/>
        <w:ind w:left="7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（三）</w:t>
      </w:r>
      <w:r>
        <w:rPr>
          <w:rFonts w:ascii="仿宋_GB2312" w:eastAsia="仿宋_GB2312" w:hAnsi="Simsun" w:cs="Arial" w:hint="eastAsia"/>
          <w:color w:val="333333"/>
          <w:sz w:val="32"/>
          <w:szCs w:val="32"/>
          <w:bdr w:val="none" w:sz="0" w:space="0" w:color="auto" w:frame="1"/>
        </w:rPr>
        <w:t>企事业单位、个人对城镇现有空闲的厂房、学校、社区用房等进行改造和利用，兴办养老服务机构，经规划批准临时改变建筑使用功能从事非盈利性养老服务且连续经营一年以上的，五年内可不增收土地年租金或土地收益差价，土地使用性质也可暂不作变更。</w:t>
      </w:r>
    </w:p>
    <w:p w14:paraId="60330E83" w14:textId="77777777" w:rsidR="005301A9" w:rsidRDefault="005301A9" w:rsidP="005301A9">
      <w:pPr>
        <w:pStyle w:val="a5"/>
        <w:spacing w:before="0" w:beforeAutospacing="0" w:after="0" w:afterAutospacing="0" w:line="600"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shd w:val="clear" w:color="auto" w:fill="FFFFFF"/>
        </w:rPr>
        <w:t>第三章</w:t>
      </w:r>
      <w:r>
        <w:rPr>
          <w:rStyle w:val="a4"/>
          <w:rFonts w:ascii="Calibri" w:eastAsia="黑体" w:hAnsi="Calibri" w:cs="Calibri"/>
          <w:color w:val="333333"/>
          <w:sz w:val="32"/>
          <w:szCs w:val="32"/>
          <w:bdr w:val="none" w:sz="0" w:space="0" w:color="auto" w:frame="1"/>
          <w:shd w:val="clear" w:color="auto" w:fill="FFFFFF"/>
        </w:rPr>
        <w:t> </w:t>
      </w:r>
      <w:r>
        <w:rPr>
          <w:rStyle w:val="a4"/>
          <w:rFonts w:ascii="黑体" w:eastAsia="黑体" w:hAnsi="黑体" w:cs="Arial" w:hint="eastAsia"/>
          <w:color w:val="333333"/>
          <w:sz w:val="32"/>
          <w:szCs w:val="32"/>
          <w:bdr w:val="none" w:sz="0" w:space="0" w:color="auto" w:frame="1"/>
          <w:shd w:val="clear" w:color="auto" w:fill="FFFFFF"/>
        </w:rPr>
        <w:t>人才政策</w:t>
      </w:r>
    </w:p>
    <w:p w14:paraId="21C0B459" w14:textId="77777777" w:rsidR="005301A9" w:rsidRDefault="005301A9" w:rsidP="005301A9">
      <w:pPr>
        <w:pStyle w:val="a5"/>
        <w:spacing w:before="0" w:beforeAutospacing="0" w:after="0" w:afterAutospacing="0" w:line="630"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第九条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对我市引进经济转型升级急需的领军拔尖人才，凡能够</w:t>
      </w:r>
      <w:proofErr w:type="gramStart"/>
      <w:r>
        <w:rPr>
          <w:rFonts w:ascii="仿宋_GB2312" w:eastAsia="仿宋_GB2312" w:hAnsi="Simsun" w:cs="Arial" w:hint="eastAsia"/>
          <w:color w:val="333333"/>
          <w:sz w:val="32"/>
          <w:szCs w:val="32"/>
          <w:bdr w:val="none" w:sz="0" w:space="0" w:color="auto" w:frame="1"/>
        </w:rPr>
        <w:t>引领全市</w:t>
      </w:r>
      <w:proofErr w:type="gramEnd"/>
      <w:r>
        <w:rPr>
          <w:rFonts w:ascii="仿宋_GB2312" w:eastAsia="仿宋_GB2312" w:hAnsi="Simsun" w:cs="Arial" w:hint="eastAsia"/>
          <w:color w:val="333333"/>
          <w:sz w:val="32"/>
          <w:szCs w:val="32"/>
          <w:bdr w:val="none" w:sz="0" w:space="0" w:color="auto" w:frame="1"/>
        </w:rPr>
        <w:t>产业发展、带动区域性产业结构调整和产生重大经济效益的，可采取“一人</w:t>
      </w:r>
      <w:proofErr w:type="gramStart"/>
      <w:r>
        <w:rPr>
          <w:rFonts w:ascii="仿宋_GB2312" w:eastAsia="仿宋_GB2312" w:hAnsi="Simsun" w:cs="Arial" w:hint="eastAsia"/>
          <w:color w:val="333333"/>
          <w:sz w:val="32"/>
          <w:szCs w:val="32"/>
          <w:bdr w:val="none" w:sz="0" w:space="0" w:color="auto" w:frame="1"/>
        </w:rPr>
        <w:t>一</w:t>
      </w:r>
      <w:proofErr w:type="gramEnd"/>
      <w:r>
        <w:rPr>
          <w:rFonts w:ascii="仿宋_GB2312" w:eastAsia="仿宋_GB2312" w:hAnsi="Simsun" w:cs="Arial" w:hint="eastAsia"/>
          <w:color w:val="333333"/>
          <w:sz w:val="32"/>
          <w:szCs w:val="32"/>
          <w:bdr w:val="none" w:sz="0" w:space="0" w:color="auto" w:frame="1"/>
        </w:rPr>
        <w:t>策”“一事一议”的引进方式，由市财政给予专项资金支持。</w:t>
      </w:r>
    </w:p>
    <w:p w14:paraId="78D37E5D"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Calibri" w:eastAsia="仿宋" w:hAnsi="Calibri" w:cs="Calibri"/>
          <w:color w:val="0F0F0F"/>
          <w:sz w:val="32"/>
          <w:szCs w:val="32"/>
          <w:bdr w:val="none" w:sz="0" w:space="0" w:color="auto" w:frame="1"/>
        </w:rPr>
        <w:t> </w:t>
      </w:r>
      <w:r>
        <w:rPr>
          <w:rStyle w:val="a4"/>
          <w:rFonts w:ascii="仿宋_GB2312" w:eastAsia="仿宋_GB2312" w:hAnsi="Simsun" w:cs="Arial" w:hint="eastAsia"/>
          <w:color w:val="0F0F0F"/>
          <w:sz w:val="32"/>
          <w:szCs w:val="32"/>
          <w:bdr w:val="none" w:sz="0" w:space="0" w:color="auto" w:frame="1"/>
        </w:rPr>
        <w:t>第十条</w:t>
      </w:r>
      <w:r>
        <w:rPr>
          <w:rFonts w:ascii="仿宋_GB2312" w:eastAsia="仿宋_GB2312" w:hAnsi="Simsun" w:cs="Arial" w:hint="eastAsia"/>
          <w:color w:val="0F0F0F"/>
          <w:sz w:val="32"/>
          <w:szCs w:val="32"/>
          <w:bdr w:val="none" w:sz="0" w:space="0" w:color="auto" w:frame="1"/>
        </w:rPr>
        <w:t>  </w:t>
      </w:r>
      <w:r>
        <w:rPr>
          <w:rFonts w:ascii="仿宋_GB2312" w:eastAsia="仿宋_GB2312" w:hAnsi="Simsun" w:cs="Arial" w:hint="eastAsia"/>
          <w:color w:val="0F0F0F"/>
          <w:sz w:val="32"/>
          <w:szCs w:val="32"/>
          <w:bdr w:val="none" w:sz="0" w:space="0" w:color="auto" w:frame="1"/>
        </w:rPr>
        <w:t>给予创新创业项目启动资金支持，凡来我市创新创业的领军型、高端型、成长型人才（团队），经认定后分别给予300万元、200万元、100万元项目启动资金支持。全日制博士、硕士来我市创新创业的，落地1年后分别按博士8万元、硕士5万元给予安家费，落地3年后在运城购买住房的，分别一</w:t>
      </w:r>
      <w:r>
        <w:rPr>
          <w:rFonts w:ascii="仿宋_GB2312" w:eastAsia="仿宋_GB2312" w:hAnsi="Simsun" w:cs="Arial" w:hint="eastAsia"/>
          <w:color w:val="0F0F0F"/>
          <w:sz w:val="32"/>
          <w:szCs w:val="32"/>
          <w:bdr w:val="none" w:sz="0" w:space="0" w:color="auto" w:frame="1"/>
        </w:rPr>
        <w:lastRenderedPageBreak/>
        <w:t>次性给予30万元、20万元购房补助。资金由项目所在地财政给予支持。</w:t>
      </w:r>
    </w:p>
    <w:p w14:paraId="64A3B34A"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Calibri" w:eastAsia="仿宋" w:hAnsi="Calibri" w:cs="Calibri"/>
          <w:color w:val="333333"/>
          <w:sz w:val="32"/>
          <w:szCs w:val="32"/>
          <w:bdr w:val="none" w:sz="0" w:space="0" w:color="auto" w:frame="1"/>
          <w:shd w:val="clear" w:color="auto" w:fill="FFFFFF"/>
        </w:rPr>
        <w:t> </w:t>
      </w:r>
      <w:r>
        <w:rPr>
          <w:rStyle w:val="a4"/>
          <w:rFonts w:ascii="仿宋_GB2312" w:eastAsia="仿宋_GB2312" w:hAnsi="Simsun" w:cs="Arial" w:hint="eastAsia"/>
          <w:color w:val="333333"/>
          <w:sz w:val="32"/>
          <w:szCs w:val="32"/>
          <w:bdr w:val="none" w:sz="0" w:space="0" w:color="auto" w:frame="1"/>
          <w:shd w:val="clear" w:color="auto" w:fill="FFFFFF"/>
        </w:rPr>
        <w:t>第十一条</w:t>
      </w:r>
      <w:r>
        <w:rPr>
          <w:rStyle w:val="a4"/>
          <w:rFonts w:ascii="仿宋_GB2312" w:eastAsia="仿宋_GB2312" w:hAnsi="Simsun" w:cs="Arial" w:hint="eastAsia"/>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鼓励企业通过中介机构引进我市重点产业紧缺人才，引才补贴按企业给付人才中介机构佣金的50%确定。</w:t>
      </w:r>
      <w:r>
        <w:rPr>
          <w:rFonts w:ascii="仿宋_GB2312" w:eastAsia="仿宋_GB2312" w:hAnsi="Simsun" w:cs="Arial" w:hint="eastAsia"/>
          <w:color w:val="0F0F0F"/>
          <w:sz w:val="32"/>
          <w:szCs w:val="32"/>
          <w:bdr w:val="none" w:sz="0" w:space="0" w:color="auto" w:frame="1"/>
        </w:rPr>
        <w:t>资金由项目所在地财政给予支持。符合下列条件的企业，可申报引才补贴。</w:t>
      </w:r>
    </w:p>
    <w:p w14:paraId="7722014F"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仿宋_GB2312" w:eastAsia="仿宋_GB2312" w:hAnsi="Simsun" w:cs="Arial" w:hint="eastAsia"/>
          <w:color w:val="0F0F0F"/>
          <w:sz w:val="32"/>
          <w:szCs w:val="32"/>
          <w:bdr w:val="none" w:sz="0" w:space="0" w:color="auto" w:frame="1"/>
        </w:rPr>
        <w:t>（一）依法签订劳动合同，全职到岗工作满1年，按规定缴交社会保险；</w:t>
      </w:r>
    </w:p>
    <w:p w14:paraId="6E993553"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仿宋_GB2312" w:eastAsia="仿宋_GB2312" w:hAnsi="Simsun" w:cs="Arial" w:hint="eastAsia"/>
          <w:color w:val="0F0F0F"/>
          <w:sz w:val="32"/>
          <w:szCs w:val="32"/>
          <w:bdr w:val="none" w:sz="0" w:space="0" w:color="auto" w:frame="1"/>
        </w:rPr>
        <w:t>（二）企业支付的税前薪金超过30万元/年；</w:t>
      </w:r>
    </w:p>
    <w:p w14:paraId="069F9449"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仿宋_GB2312" w:eastAsia="仿宋_GB2312" w:hAnsi="Simsun" w:cs="Arial" w:hint="eastAsia"/>
          <w:color w:val="0F0F0F"/>
          <w:sz w:val="32"/>
          <w:szCs w:val="32"/>
          <w:bdr w:val="none" w:sz="0" w:space="0" w:color="auto" w:frame="1"/>
        </w:rPr>
        <w:t>（三）人才到岗前上一工作地在本省范围以外；</w:t>
      </w:r>
    </w:p>
    <w:p w14:paraId="330873FC" w14:textId="77777777" w:rsidR="005301A9" w:rsidRDefault="005301A9" w:rsidP="005301A9">
      <w:pPr>
        <w:pStyle w:val="a5"/>
        <w:spacing w:before="0" w:beforeAutospacing="0" w:after="0" w:afterAutospacing="0" w:line="480" w:lineRule="atLeast"/>
        <w:ind w:left="720" w:firstLine="420"/>
        <w:rPr>
          <w:rFonts w:ascii="Simsun" w:eastAsia="微软雅黑" w:hAnsi="Simsun" w:cs="Arial"/>
          <w:color w:val="333333"/>
          <w:sz w:val="27"/>
          <w:szCs w:val="27"/>
        </w:rPr>
      </w:pPr>
      <w:r>
        <w:rPr>
          <w:rFonts w:ascii="仿宋_GB2312" w:eastAsia="仿宋_GB2312" w:hAnsi="Simsun" w:cs="Arial" w:hint="eastAsia"/>
          <w:color w:val="0F0F0F"/>
          <w:sz w:val="32"/>
          <w:szCs w:val="32"/>
          <w:bdr w:val="none" w:sz="0" w:space="0" w:color="auto" w:frame="1"/>
        </w:rPr>
        <w:t>（四）申报企业和引进的人才均无不良诚信记录。</w:t>
      </w:r>
    </w:p>
    <w:p w14:paraId="66565E9D" w14:textId="77777777" w:rsidR="005301A9" w:rsidRDefault="005301A9" w:rsidP="005301A9">
      <w:pPr>
        <w:pStyle w:val="a5"/>
        <w:spacing w:before="0" w:beforeAutospacing="0" w:after="0" w:afterAutospacing="0" w:line="585" w:lineRule="atLeast"/>
        <w:ind w:left="720"/>
        <w:jc w:val="both"/>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shd w:val="clear" w:color="auto" w:fill="FFFFFF"/>
        </w:rPr>
        <w:t>    </w:t>
      </w:r>
      <w:r>
        <w:rPr>
          <w:rStyle w:val="a4"/>
          <w:rFonts w:ascii="仿宋_GB2312" w:eastAsia="仿宋_GB2312" w:hAnsi="Simsun" w:cs="Arial" w:hint="eastAsia"/>
          <w:color w:val="333333"/>
          <w:sz w:val="32"/>
          <w:szCs w:val="32"/>
          <w:bdr w:val="none" w:sz="0" w:space="0" w:color="auto" w:frame="1"/>
          <w:shd w:val="clear" w:color="auto" w:fill="FFFFFF"/>
        </w:rPr>
        <w:t>第十二条</w:t>
      </w:r>
      <w:r>
        <w:rPr>
          <w:rFonts w:ascii="仿宋_GB2312" w:eastAsia="仿宋_GB2312" w:hAnsi="Simsun" w:cs="Arial" w:hint="eastAsia"/>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shd w:val="clear" w:color="auto" w:fill="FFFFFF"/>
        </w:rPr>
        <w:t>对我市引进的重点产业高级管理人员和高端技术人才，在医疗服务、子女入学时可优先享受我市优质医疗、教育资源。</w:t>
      </w:r>
    </w:p>
    <w:p w14:paraId="1A78A599" w14:textId="77777777" w:rsidR="005301A9" w:rsidRDefault="005301A9" w:rsidP="005301A9">
      <w:pPr>
        <w:pStyle w:val="a5"/>
        <w:spacing w:before="0" w:beforeAutospacing="0" w:after="0" w:afterAutospacing="0" w:line="600"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shd w:val="clear" w:color="auto" w:fill="FFFFFF"/>
        </w:rPr>
        <w:t>第四章</w:t>
      </w:r>
      <w:r>
        <w:rPr>
          <w:rStyle w:val="a4"/>
          <w:rFonts w:ascii="Calibri" w:eastAsia="黑体" w:hAnsi="Calibri" w:cs="Calibri"/>
          <w:color w:val="333333"/>
          <w:sz w:val="32"/>
          <w:szCs w:val="32"/>
          <w:bdr w:val="none" w:sz="0" w:space="0" w:color="auto" w:frame="1"/>
          <w:shd w:val="clear" w:color="auto" w:fill="FFFFFF"/>
        </w:rPr>
        <w:t> </w:t>
      </w:r>
      <w:r>
        <w:rPr>
          <w:rStyle w:val="a4"/>
          <w:rFonts w:ascii="黑体" w:eastAsia="黑体" w:hAnsi="黑体" w:cs="Arial" w:hint="eastAsia"/>
          <w:color w:val="333333"/>
          <w:sz w:val="32"/>
          <w:szCs w:val="32"/>
          <w:bdr w:val="none" w:sz="0" w:space="0" w:color="auto" w:frame="1"/>
          <w:shd w:val="clear" w:color="auto" w:fill="FFFFFF"/>
        </w:rPr>
        <w:t>金融支持政策</w:t>
      </w:r>
    </w:p>
    <w:p w14:paraId="21759C07" w14:textId="77777777" w:rsidR="005301A9" w:rsidRDefault="005301A9" w:rsidP="005301A9">
      <w:pPr>
        <w:pStyle w:val="a5"/>
        <w:spacing w:before="0" w:beforeAutospacing="0" w:after="0" w:afterAutospacing="0" w:line="600"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第十三条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充分发挥信贷金融主渠道作用，设立注册资本10亿元的融资性担保平台，为企业融资提供担保服务。</w:t>
      </w:r>
    </w:p>
    <w:p w14:paraId="37EF69EC" w14:textId="77777777" w:rsidR="005301A9" w:rsidRDefault="005301A9" w:rsidP="005301A9">
      <w:pPr>
        <w:pStyle w:val="a5"/>
        <w:spacing w:before="0" w:beforeAutospacing="0" w:after="0" w:afterAutospacing="0" w:line="645" w:lineRule="atLeast"/>
        <w:ind w:left="720"/>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第十四条</w:t>
      </w:r>
      <w:r>
        <w:rPr>
          <w:rStyle w:val="a4"/>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鼓励企业通过多形式、多渠道融资;支持符合条件的企业依法依规在主板、中小企业版、创业版和境外上市，在新三板挂牌，享受市政府鼓励企业上市、鼓励企业在新三板和区域性股权交易市场挂牌</w:t>
      </w:r>
      <w:r>
        <w:rPr>
          <w:rFonts w:ascii="仿宋_GB2312" w:eastAsia="仿宋_GB2312" w:hAnsi="Simsun" w:cs="Arial" w:hint="eastAsia"/>
          <w:color w:val="333333"/>
          <w:sz w:val="32"/>
          <w:szCs w:val="32"/>
          <w:bdr w:val="none" w:sz="0" w:space="0" w:color="auto" w:frame="1"/>
        </w:rPr>
        <w:lastRenderedPageBreak/>
        <w:t>的扶持政策。鼓励符合条件的企业通过信托或发行债券等方式筹集发展资金，积极发展私</w:t>
      </w:r>
      <w:proofErr w:type="gramStart"/>
      <w:r>
        <w:rPr>
          <w:rFonts w:ascii="仿宋_GB2312" w:eastAsia="仿宋_GB2312" w:hAnsi="Simsun" w:cs="Arial" w:hint="eastAsia"/>
          <w:color w:val="333333"/>
          <w:sz w:val="32"/>
          <w:szCs w:val="32"/>
          <w:bdr w:val="none" w:sz="0" w:space="0" w:color="auto" w:frame="1"/>
        </w:rPr>
        <w:t>募股权基金</w:t>
      </w:r>
      <w:proofErr w:type="gramEnd"/>
      <w:r>
        <w:rPr>
          <w:rFonts w:ascii="仿宋_GB2312" w:eastAsia="仿宋_GB2312" w:hAnsi="Simsun" w:cs="Arial" w:hint="eastAsia"/>
          <w:color w:val="333333"/>
          <w:sz w:val="32"/>
          <w:szCs w:val="32"/>
          <w:bdr w:val="none" w:sz="0" w:space="0" w:color="auto" w:frame="1"/>
        </w:rPr>
        <w:t>。</w:t>
      </w:r>
    </w:p>
    <w:p w14:paraId="76BF511B" w14:textId="77777777" w:rsidR="005301A9" w:rsidRDefault="005301A9" w:rsidP="005301A9">
      <w:pPr>
        <w:pStyle w:val="a5"/>
        <w:spacing w:before="0" w:beforeAutospacing="0" w:after="0" w:afterAutospacing="0" w:line="36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第十五条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对符合国家产业政策具有良好发展前景的重大项目，可以产业引导资金进行阶段参股、跟进投资等方式予以支持。</w:t>
      </w:r>
    </w:p>
    <w:p w14:paraId="249778DD" w14:textId="77777777" w:rsidR="005301A9" w:rsidRDefault="005301A9" w:rsidP="005301A9">
      <w:pPr>
        <w:pStyle w:val="a5"/>
        <w:spacing w:before="0" w:beforeAutospacing="0" w:after="0" w:afterAutospacing="0" w:line="645"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rPr>
        <w:t>第五章</w:t>
      </w:r>
      <w:r>
        <w:rPr>
          <w:rStyle w:val="a4"/>
          <w:rFonts w:ascii="Calibri" w:eastAsia="黑体" w:hAnsi="Calibri" w:cs="Calibri"/>
          <w:color w:val="333333"/>
          <w:sz w:val="32"/>
          <w:szCs w:val="32"/>
          <w:bdr w:val="none" w:sz="0" w:space="0" w:color="auto" w:frame="1"/>
        </w:rPr>
        <w:t> </w:t>
      </w:r>
      <w:r>
        <w:rPr>
          <w:rStyle w:val="a4"/>
          <w:rFonts w:ascii="黑体" w:eastAsia="黑体" w:hAnsi="黑体" w:cs="Arial" w:hint="eastAsia"/>
          <w:color w:val="333333"/>
          <w:sz w:val="32"/>
          <w:szCs w:val="32"/>
          <w:bdr w:val="none" w:sz="0" w:space="0" w:color="auto" w:frame="1"/>
        </w:rPr>
        <w:t>无偿捐赠引荐人奖励政策</w:t>
      </w:r>
    </w:p>
    <w:p w14:paraId="62047A18"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第十六条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引进社会无偿资金，经过核定实际到位资金每达到500万元奖励20万元，最高奖励100万元。奖金由所在地政府支付。</w:t>
      </w:r>
    </w:p>
    <w:p w14:paraId="60CCD351" w14:textId="77777777" w:rsidR="005301A9" w:rsidRDefault="005301A9" w:rsidP="005301A9">
      <w:pPr>
        <w:pStyle w:val="a5"/>
        <w:spacing w:before="0" w:beforeAutospacing="0" w:after="0" w:afterAutospacing="0" w:line="645"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rPr>
        <w:t>第六章</w:t>
      </w:r>
      <w:r>
        <w:rPr>
          <w:rStyle w:val="a4"/>
          <w:rFonts w:ascii="Calibri" w:eastAsia="黑体" w:hAnsi="Calibri" w:cs="Calibri"/>
          <w:color w:val="333333"/>
          <w:sz w:val="32"/>
          <w:szCs w:val="32"/>
          <w:bdr w:val="none" w:sz="0" w:space="0" w:color="auto" w:frame="1"/>
        </w:rPr>
        <w:t> </w:t>
      </w:r>
      <w:r>
        <w:rPr>
          <w:rStyle w:val="a4"/>
          <w:rFonts w:ascii="黑体" w:eastAsia="黑体" w:hAnsi="黑体" w:cs="Arial" w:hint="eastAsia"/>
          <w:color w:val="333333"/>
          <w:sz w:val="32"/>
          <w:szCs w:val="32"/>
          <w:bdr w:val="none" w:sz="0" w:space="0" w:color="auto" w:frame="1"/>
        </w:rPr>
        <w:t>优质服务保障</w:t>
      </w:r>
    </w:p>
    <w:p w14:paraId="2CD3BA25"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第十七条</w:t>
      </w:r>
      <w:r>
        <w:rPr>
          <w:rFonts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对列入市级重点的工业项目，确定市级领导包联，项目进展按月通报、按季检查、半年考核、年终奖励。</w:t>
      </w:r>
    </w:p>
    <w:p w14:paraId="5198F09C"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第十八条</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项目审批实行一站审批，一条龙服务。凡来我市兴办企业所需办理的各种手续，只要符合国家产业政策且手续齐全的项目，审批（或核准、备案）权在本市的7个工作日内全部办结；审批（或核准、备案）权属于上级的，5个工作日内办理所有上报手续，有关部门做好跟踪服务。</w:t>
      </w:r>
    </w:p>
    <w:p w14:paraId="73538256"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第十九条</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在我市新投资的外商投资企业可享受国家支持产业转移与加工贸易扶持资金。</w:t>
      </w:r>
    </w:p>
    <w:p w14:paraId="65BC0C22"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lastRenderedPageBreak/>
        <w:t>第二十条</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建立重大项目联席会议制度。对需要统一开会协调的重大项目存在问题，由市招商引资领导组定期召开联席协调会议解决。</w:t>
      </w:r>
    </w:p>
    <w:p w14:paraId="7A2A6DF5" w14:textId="77777777" w:rsidR="005301A9" w:rsidRDefault="005301A9" w:rsidP="005301A9">
      <w:pPr>
        <w:pStyle w:val="a5"/>
        <w:spacing w:before="0" w:beforeAutospacing="0" w:after="0" w:afterAutospacing="0" w:line="645"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第二十一条</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对外来客商投资企业实行挂牌保护。除国家法律、法规和省级政府规定缴纳的行政事业收费外，任何单位不得对其乱摊派、乱罚款、乱收费。</w:t>
      </w:r>
    </w:p>
    <w:p w14:paraId="48C948A3"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第二十二条</w:t>
      </w:r>
      <w:r>
        <w:rPr>
          <w:rStyle w:val="a4"/>
          <w:rFonts w:ascii="仿宋_GB2312" w:eastAsia="仿宋_GB2312" w:hAnsi="Simsun" w:cs="Arial" w:hint="eastAsia"/>
          <w:color w:val="333333"/>
          <w:sz w:val="32"/>
          <w:szCs w:val="32"/>
          <w:bdr w:val="none" w:sz="0" w:space="0" w:color="auto" w:frame="1"/>
        </w:rPr>
        <w:t> </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外来投资企业所需承担水、电、气、供热、排水、运输、通讯等收费与本市企业执行统一标准。</w:t>
      </w:r>
    </w:p>
    <w:p w14:paraId="6CF48023"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第二十三条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各职能主管部门</w:t>
      </w:r>
      <w:proofErr w:type="gramStart"/>
      <w:r>
        <w:rPr>
          <w:rFonts w:ascii="仿宋_GB2312" w:eastAsia="仿宋_GB2312" w:hAnsi="Simsun" w:cs="Arial" w:hint="eastAsia"/>
          <w:color w:val="333333"/>
          <w:sz w:val="32"/>
          <w:szCs w:val="32"/>
          <w:bdr w:val="none" w:sz="0" w:space="0" w:color="auto" w:frame="1"/>
        </w:rPr>
        <w:t>在奖补</w:t>
      </w:r>
      <w:proofErr w:type="gramEnd"/>
      <w:r>
        <w:rPr>
          <w:rFonts w:ascii="仿宋_GB2312" w:eastAsia="仿宋_GB2312" w:hAnsi="Simsun" w:cs="Arial" w:hint="eastAsia"/>
          <w:color w:val="333333"/>
          <w:sz w:val="32"/>
          <w:szCs w:val="32"/>
          <w:bdr w:val="none" w:sz="0" w:space="0" w:color="auto" w:frame="1"/>
        </w:rPr>
        <w:t xml:space="preserve">资金分配、政策落实等方面配套建立相关制度，确保阳光透明、公正客观。　</w:t>
      </w:r>
    </w:p>
    <w:p w14:paraId="7AE4A045" w14:textId="77777777" w:rsidR="005301A9" w:rsidRDefault="005301A9" w:rsidP="005301A9">
      <w:pPr>
        <w:pStyle w:val="a5"/>
        <w:spacing w:before="0" w:beforeAutospacing="0" w:after="0" w:afterAutospacing="0" w:line="645" w:lineRule="atLeast"/>
        <w:ind w:left="720"/>
        <w:jc w:val="center"/>
        <w:rPr>
          <w:rFonts w:ascii="Simsun" w:eastAsia="微软雅黑" w:hAnsi="Simsun" w:cs="Arial"/>
          <w:color w:val="333333"/>
          <w:sz w:val="27"/>
          <w:szCs w:val="27"/>
        </w:rPr>
      </w:pPr>
      <w:r>
        <w:rPr>
          <w:rStyle w:val="a4"/>
          <w:rFonts w:ascii="黑体" w:eastAsia="黑体" w:hAnsi="黑体" w:cs="Arial" w:hint="eastAsia"/>
          <w:color w:val="333333"/>
          <w:sz w:val="32"/>
          <w:szCs w:val="32"/>
          <w:bdr w:val="none" w:sz="0" w:space="0" w:color="auto" w:frame="1"/>
        </w:rPr>
        <w:t>第七章</w:t>
      </w:r>
      <w:r>
        <w:rPr>
          <w:rStyle w:val="a4"/>
          <w:rFonts w:ascii="Calibri" w:eastAsia="黑体" w:hAnsi="Calibri" w:cs="Calibri"/>
          <w:color w:val="333333"/>
          <w:sz w:val="32"/>
          <w:szCs w:val="32"/>
          <w:bdr w:val="none" w:sz="0" w:space="0" w:color="auto" w:frame="1"/>
        </w:rPr>
        <w:t>   </w:t>
      </w:r>
      <w:r>
        <w:rPr>
          <w:rStyle w:val="a4"/>
          <w:rFonts w:ascii="黑体" w:eastAsia="黑体" w:hAnsi="黑体" w:cs="Arial" w:hint="eastAsia"/>
          <w:color w:val="333333"/>
          <w:sz w:val="32"/>
          <w:szCs w:val="32"/>
          <w:bdr w:val="none" w:sz="0" w:space="0" w:color="auto" w:frame="1"/>
        </w:rPr>
        <w:t>其它</w:t>
      </w:r>
    </w:p>
    <w:p w14:paraId="2FE56417"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第二十四条</w:t>
      </w:r>
      <w:r>
        <w:rPr>
          <w:rStyle w:val="a4"/>
          <w:rFonts w:ascii="Calibri" w:eastAsia="仿宋" w:hAnsi="Calibri" w:cs="Calibri"/>
          <w:color w:val="333333"/>
          <w:sz w:val="32"/>
          <w:szCs w:val="32"/>
          <w:bdr w:val="none" w:sz="0" w:space="0" w:color="auto" w:frame="1"/>
          <w:shd w:val="clear" w:color="auto" w:fill="FFFFFF"/>
        </w:rPr>
        <w:t> </w:t>
      </w:r>
      <w:r>
        <w:rPr>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对关系到我市经济和社会发展有较大带动作用的重大项目的其它优惠事项，可以采取一事一议的办法实行。</w:t>
      </w:r>
    </w:p>
    <w:p w14:paraId="0E3D84ED" w14:textId="77777777" w:rsidR="005301A9" w:rsidRDefault="005301A9" w:rsidP="005301A9">
      <w:pPr>
        <w:pStyle w:val="a5"/>
        <w:spacing w:before="0" w:beforeAutospacing="0" w:after="0" w:afterAutospacing="0" w:line="645" w:lineRule="atLeast"/>
        <w:ind w:left="720"/>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第二十五条</w:t>
      </w:r>
      <w:r>
        <w:rPr>
          <w:rStyle w:val="a4"/>
          <w:rFonts w:ascii="Calibri" w:eastAsia="仿宋" w:hAnsi="Calibri" w:cs="Calibri"/>
          <w:color w:val="333333"/>
          <w:sz w:val="32"/>
          <w:szCs w:val="32"/>
          <w:bdr w:val="none" w:sz="0" w:space="0" w:color="auto" w:frame="1"/>
          <w:shd w:val="clear" w:color="auto" w:fill="FFFFFF"/>
        </w:rPr>
        <w:t>  </w:t>
      </w:r>
      <w:r>
        <w:rPr>
          <w:rFonts w:ascii="仿宋_GB2312" w:eastAsia="仿宋_GB2312" w:hAnsi="Simsun" w:cs="Arial" w:hint="eastAsia"/>
          <w:color w:val="333333"/>
          <w:sz w:val="32"/>
          <w:szCs w:val="32"/>
          <w:bdr w:val="none" w:sz="0" w:space="0" w:color="auto" w:frame="1"/>
        </w:rPr>
        <w:t>省政府出台招商引资优惠政策按省政府文件执行，不重复优惠奖励。</w:t>
      </w:r>
    </w:p>
    <w:p w14:paraId="69211EE9"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t>第二十六条</w:t>
      </w:r>
      <w:r>
        <w:rPr>
          <w:rStyle w:val="a4"/>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凡弄虚作假、骗取荣誉和资金的，一经发现，追回享受的奖励资金，并追究有关人员的责任。</w:t>
      </w:r>
    </w:p>
    <w:p w14:paraId="36ABADEE" w14:textId="77777777" w:rsidR="005301A9" w:rsidRDefault="005301A9" w:rsidP="005301A9">
      <w:pPr>
        <w:pStyle w:val="a5"/>
        <w:spacing w:before="0" w:beforeAutospacing="0" w:after="0" w:afterAutospacing="0" w:line="645" w:lineRule="atLeast"/>
        <w:ind w:left="720" w:firstLine="645"/>
        <w:rPr>
          <w:rFonts w:ascii="Simsun" w:eastAsia="微软雅黑" w:hAnsi="Simsun" w:cs="Arial"/>
          <w:color w:val="333333"/>
          <w:sz w:val="27"/>
          <w:szCs w:val="27"/>
        </w:rPr>
      </w:pPr>
      <w:r>
        <w:rPr>
          <w:rStyle w:val="a4"/>
          <w:rFonts w:ascii="仿宋_GB2312" w:eastAsia="仿宋_GB2312" w:hAnsi="Simsun" w:cs="Arial" w:hint="eastAsia"/>
          <w:color w:val="333333"/>
          <w:sz w:val="32"/>
          <w:szCs w:val="32"/>
          <w:bdr w:val="none" w:sz="0" w:space="0" w:color="auto" w:frame="1"/>
        </w:rPr>
        <w:lastRenderedPageBreak/>
        <w:t>第二十七条</w:t>
      </w:r>
      <w:r>
        <w:rPr>
          <w:rFonts w:ascii="仿宋_GB2312" w:eastAsia="仿宋_GB2312" w:hAnsi="Simsun" w:cs="Arial" w:hint="eastAsia"/>
          <w:color w:val="333333"/>
          <w:sz w:val="32"/>
          <w:szCs w:val="32"/>
          <w:bdr w:val="none" w:sz="0" w:space="0" w:color="auto" w:frame="1"/>
        </w:rPr>
        <w:t>   </w:t>
      </w:r>
      <w:r>
        <w:rPr>
          <w:rFonts w:ascii="仿宋_GB2312" w:eastAsia="仿宋_GB2312" w:hAnsi="Simsun" w:cs="Arial" w:hint="eastAsia"/>
          <w:color w:val="333333"/>
          <w:sz w:val="32"/>
          <w:szCs w:val="32"/>
          <w:bdr w:val="none" w:sz="0" w:space="0" w:color="auto" w:frame="1"/>
        </w:rPr>
        <w:t>各职能部门主动对接联系，提供优质服务，对发现不作为、慢作为、乱作为以及其他违纪违法问题，要严肃查处，严肃问责。</w:t>
      </w:r>
    </w:p>
    <w:p w14:paraId="733C62C4" w14:textId="77777777" w:rsidR="005301A9" w:rsidRDefault="005301A9" w:rsidP="005301A9">
      <w:pPr>
        <w:pStyle w:val="a5"/>
        <w:spacing w:before="0" w:beforeAutospacing="0" w:after="0" w:afterAutospacing="0" w:line="360" w:lineRule="atLeast"/>
        <w:ind w:left="720"/>
        <w:rPr>
          <w:rFonts w:ascii="Simsun" w:eastAsia="微软雅黑" w:hAnsi="Simsun" w:cs="Arial"/>
          <w:color w:val="333333"/>
          <w:sz w:val="27"/>
          <w:szCs w:val="27"/>
        </w:rPr>
      </w:pPr>
      <w:r>
        <w:rPr>
          <w:rFonts w:ascii="仿宋_GB2312" w:eastAsia="仿宋_GB2312" w:hAnsi="Simsun" w:cs="Arial" w:hint="eastAsia"/>
          <w:color w:val="333333"/>
          <w:sz w:val="32"/>
          <w:szCs w:val="32"/>
          <w:bdr w:val="none" w:sz="0" w:space="0" w:color="auto" w:frame="1"/>
        </w:rPr>
        <w:t>    </w:t>
      </w:r>
      <w:r>
        <w:rPr>
          <w:rStyle w:val="a4"/>
          <w:rFonts w:ascii="仿宋_GB2312" w:eastAsia="仿宋_GB2312" w:hAnsi="Simsun" w:cs="Arial" w:hint="eastAsia"/>
          <w:color w:val="333333"/>
          <w:sz w:val="32"/>
          <w:szCs w:val="32"/>
          <w:bdr w:val="none" w:sz="0" w:space="0" w:color="auto" w:frame="1"/>
        </w:rPr>
        <w:t>第二十八条</w:t>
      </w:r>
      <w:r>
        <w:rPr>
          <w:rFonts w:ascii="仿宋_GB2312" w:eastAsia="仿宋_GB2312" w:hAnsi="Simsun" w:cs="Arial" w:hint="eastAsia"/>
          <w:color w:val="333333"/>
          <w:sz w:val="32"/>
          <w:szCs w:val="32"/>
          <w:bdr w:val="none" w:sz="0" w:space="0" w:color="auto" w:frame="1"/>
        </w:rPr>
        <w:t> </w:t>
      </w:r>
      <w:r>
        <w:rPr>
          <w:rStyle w:val="a4"/>
          <w:rFonts w:ascii="Calibri" w:eastAsia="仿宋" w:hAnsi="Calibri" w:cs="Calibri"/>
          <w:color w:val="333333"/>
          <w:sz w:val="32"/>
          <w:szCs w:val="32"/>
          <w:bdr w:val="none" w:sz="0" w:space="0" w:color="auto" w:frame="1"/>
          <w:shd w:val="clear" w:color="auto" w:fill="FFFFFF"/>
        </w:rPr>
        <w:t>  </w:t>
      </w:r>
      <w:r>
        <w:rPr>
          <w:rFonts w:ascii="仿宋" w:eastAsia="仿宋" w:hAnsi="仿宋" w:cs="Arial" w:hint="eastAsia"/>
          <w:color w:val="333333"/>
          <w:sz w:val="32"/>
          <w:szCs w:val="32"/>
          <w:bdr w:val="none" w:sz="0" w:space="0" w:color="auto" w:frame="1"/>
          <w:shd w:val="clear" w:color="auto" w:fill="FFFFFF"/>
        </w:rPr>
        <w:t>本政策解释权归运城市招商引资领导组，政策</w:t>
      </w:r>
      <w:r>
        <w:rPr>
          <w:rFonts w:ascii="仿宋_GB2312" w:eastAsia="仿宋_GB2312" w:hAnsi="Simsun" w:cs="Arial" w:hint="eastAsia"/>
          <w:color w:val="333333"/>
          <w:sz w:val="32"/>
          <w:szCs w:val="32"/>
          <w:bdr w:val="none" w:sz="0" w:space="0" w:color="auto" w:frame="1"/>
        </w:rPr>
        <w:t>自发布之日起执行。</w:t>
      </w:r>
    </w:p>
    <w:p w14:paraId="347E49C3" w14:textId="77777777" w:rsidR="00724110" w:rsidRPr="005301A9" w:rsidRDefault="00724110">
      <w:bookmarkStart w:id="0" w:name="_GoBack"/>
      <w:bookmarkEnd w:id="0"/>
    </w:p>
    <w:sectPr w:rsidR="00724110" w:rsidRPr="00530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B"/>
    <w:rsid w:val="005301A9"/>
    <w:rsid w:val="00724110"/>
    <w:rsid w:val="00DF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6C040-30CA-4E86-BBCF-C9DA4396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01A9"/>
    <w:rPr>
      <w:strike w:val="0"/>
      <w:dstrike w:val="0"/>
      <w:color w:val="333333"/>
      <w:u w:val="none"/>
      <w:effect w:val="none"/>
      <w:bdr w:val="none" w:sz="0" w:space="0" w:color="auto" w:frame="1"/>
    </w:rPr>
  </w:style>
  <w:style w:type="character" w:styleId="a4">
    <w:name w:val="Strong"/>
    <w:basedOn w:val="a0"/>
    <w:uiPriority w:val="22"/>
    <w:qFormat/>
    <w:rsid w:val="005301A9"/>
    <w:rPr>
      <w:b/>
      <w:bCs/>
    </w:rPr>
  </w:style>
  <w:style w:type="paragraph" w:styleId="a5">
    <w:name w:val="Normal (Web)"/>
    <w:basedOn w:val="a"/>
    <w:uiPriority w:val="99"/>
    <w:semiHidden/>
    <w:unhideWhenUsed/>
    <w:rsid w:val="005301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28169">
      <w:bodyDiv w:val="1"/>
      <w:marLeft w:val="0"/>
      <w:marRight w:val="0"/>
      <w:marTop w:val="0"/>
      <w:marBottom w:val="0"/>
      <w:divBdr>
        <w:top w:val="none" w:sz="0" w:space="0" w:color="auto"/>
        <w:left w:val="none" w:sz="0" w:space="0" w:color="auto"/>
        <w:bottom w:val="none" w:sz="0" w:space="0" w:color="auto"/>
        <w:right w:val="none" w:sz="0" w:space="0" w:color="auto"/>
      </w:divBdr>
      <w:divsChild>
        <w:div w:id="2091004295">
          <w:marLeft w:val="0"/>
          <w:marRight w:val="0"/>
          <w:marTop w:val="375"/>
          <w:marBottom w:val="375"/>
          <w:divBdr>
            <w:top w:val="none" w:sz="0" w:space="0" w:color="auto"/>
            <w:left w:val="none" w:sz="0" w:space="0" w:color="auto"/>
            <w:bottom w:val="none" w:sz="0" w:space="0" w:color="auto"/>
            <w:right w:val="none" w:sz="0" w:space="0" w:color="auto"/>
          </w:divBdr>
          <w:divsChild>
            <w:div w:id="346055210">
              <w:marLeft w:val="0"/>
              <w:marRight w:val="0"/>
              <w:marTop w:val="0"/>
              <w:marBottom w:val="0"/>
              <w:divBdr>
                <w:top w:val="none" w:sz="0" w:space="0" w:color="auto"/>
                <w:left w:val="none" w:sz="0" w:space="0" w:color="auto"/>
                <w:bottom w:val="none" w:sz="0" w:space="0" w:color="auto"/>
                <w:right w:val="none" w:sz="0" w:space="0" w:color="auto"/>
              </w:divBdr>
              <w:divsChild>
                <w:div w:id="1702706060">
                  <w:marLeft w:val="0"/>
                  <w:marRight w:val="0"/>
                  <w:marTop w:val="0"/>
                  <w:marBottom w:val="0"/>
                  <w:divBdr>
                    <w:top w:val="none" w:sz="0" w:space="0" w:color="auto"/>
                    <w:left w:val="none" w:sz="0" w:space="0" w:color="auto"/>
                    <w:bottom w:val="none" w:sz="0" w:space="0" w:color="auto"/>
                    <w:right w:val="none" w:sz="0" w:space="0" w:color="auto"/>
                  </w:divBdr>
                  <w:divsChild>
                    <w:div w:id="995841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0.com/ask/browse-c75.html" TargetMode="External"/><Relationship Id="rId3" Type="http://schemas.openxmlformats.org/officeDocument/2006/relationships/webSettings" Target="webSettings.xml"/><Relationship Id="rId7" Type="http://schemas.openxmlformats.org/officeDocument/2006/relationships/hyperlink" Target="http://www.110.com/ask/browse-c75.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10.com/ask/browse-c52.html" TargetMode="External"/><Relationship Id="rId11" Type="http://schemas.openxmlformats.org/officeDocument/2006/relationships/fontTable" Target="fontTable.xml"/><Relationship Id="rId5" Type="http://schemas.openxmlformats.org/officeDocument/2006/relationships/hyperlink" Target="http://www.110.com/ask/browse-c75.html" TargetMode="External"/><Relationship Id="rId10" Type="http://schemas.openxmlformats.org/officeDocument/2006/relationships/hyperlink" Target="http://www.110.com/ask/browse-c75.html" TargetMode="External"/><Relationship Id="rId4" Type="http://schemas.openxmlformats.org/officeDocument/2006/relationships/hyperlink" Target="http://www.110.com/ask/browse-c72.html" TargetMode="External"/><Relationship Id="rId9" Type="http://schemas.openxmlformats.org/officeDocument/2006/relationships/hyperlink" Target="http://www.110.com/ask/browse-c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2018-05-15T08:27:00Z</dcterms:created>
  <dcterms:modified xsi:type="dcterms:W3CDTF">2018-05-15T08:27:00Z</dcterms:modified>
</cp:coreProperties>
</file>