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bookmarkStart w:id="0" w:name="_GoBack"/>
      <w:r>
        <w:rPr>
          <w:rFonts w:hint="eastAsia" w:ascii="微软雅黑" w:hAnsi="微软雅黑" w:eastAsia="微软雅黑" w:cs="微软雅黑"/>
          <w:b w:val="0"/>
          <w:i w:val="0"/>
          <w:caps w:val="0"/>
          <w:color w:val="333333"/>
          <w:spacing w:val="0"/>
          <w:sz w:val="45"/>
          <w:szCs w:val="45"/>
          <w:bdr w:val="none" w:color="auto" w:sz="0" w:space="0"/>
          <w:shd w:val="clear" w:fill="FFFFFF"/>
        </w:rPr>
        <w:t>霞浦县人民政府关于进一步支持和促进远洋渔业发展的若干措施</w:t>
      </w:r>
    </w:p>
    <w:bookmarkEnd w:id="0"/>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访问次数：0发布时间：2018-05-18</w:t>
      </w:r>
    </w:p>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文字大小：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"http://www.fjxp.gov.cn/openness/detail/content/javascript:doZoom(18)"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大</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"http://www.fjxp.gov.cn/openness/detail/content/javascript:doZoom(14)"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中</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"http://www.fjxp.gov.cn/openness/detail/content/javascript:doZoom(12)"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小</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霞政〔2018〕14号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霞浦县人民政府关于进一步支持和促进远洋渔业发展的若干措施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各乡镇人民政府、街道办事处,县直有关单位: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为贯彻落实《国务院关于促进海洋渔业持续健康发展的若干意见》、省政府《关于支持和促进海洋经济发展九条措施的通知》和《关于加快远洋渔业发展六条措施的通知》等文件精神,扶持我县远洋渔业发展,推进海洋经济强县建设,结合我县实际,现提出如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一、加大现代远洋渔业支持力度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㈠总部设在霞浦或在霞浦注册设立独立法人机构并取得国家远洋渔业企业资格的企业（含原企业未享受县级补助的），采取先建后补、以奖代补的方式对远洋渔业发展给予扶持。资金来源为中央、省、市、县关于海洋经济发展的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㈡为促进本县远洋渔业企业发展壮大,鼓励国内外优质远洋渔业企业在霞浦设立总部,积极推动远洋渔船及船用装备的更新、改造和升级，逐步实现我县远洋渔船的专业化、标准化、现代化。对在霞浦实际到位注册资本金5000万元以上，远洋渔船总吨不少于5000总吨，且总部设在霞浦的远洋渔业企业，一次性给予奖励200万元；对在霞浦实际到位注册资本金3000万元以上，远洋渔船总吨不少于3000总吨，且总部设在霞浦的远洋渔业企业，一次性给予奖励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㈢扶持远洋企业加快装备更新。凡总部设立在霞浦或在霞浦注册设立独立法人机构并取得国家远洋渔业企业资格的企业，经农业部批准的远洋渔船及辅助船更新改造或新建的，远洋渔船单船总吨不少于1000总吨，县财政按渔船造价15%给予补助，单船补助最高不超过280万元，各级财政补助累计不超过单船总造价的50%。获得国家稀缺资源牌照的渔船采取“一事一议”方式确定补助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㈣鼓励远洋渔业企业运回自捕产品。对霞浦籍远洋渔业企业运回自捕产品在霞浦县港口上岸的，按海关报关单净重数量给予每吨200元补助每家企业每年补助不超过500万元；对非霞浦籍远洋渔业企业运回自捕产品在霞浦县港口上岸的，按海关报关单净重数量给予每吨100元补助，每家企业每年补助不超过200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二、建设远洋渔业产业基地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㈠进一步加大投入，加快三沙口岸、台湾水产品集散中心等配套设施建设，形成辐射海峡西岸的现代化水产物流平台，为我县和台湾远洋渔船来霞交易提供采购交易、冷链物流、加工配送、后勤服务等保障，拓展远洋渔业产业链，发挥联动效应，带动渔业经济实现跨越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㈡支持企业在霞浦台湾水产品集散中心建设水产品专用冷库，水产品冷库容量达到1.5万吨--3万吨（1.5万吨≤容量＜3万吨）、3万吨--5万吨（3万吨≤容量＜5万吨）、5万吨以上（容量≥5万吨）且列入进口水产品检验检疫备案库的，分别给予一次性补助100万元、200万元、300万元；对扩建、改造增容使库容达到上述相应规模且列入进口水产品检验检疫备案库的，按相应档次的50%给予一次性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三、加大金融服务支持力度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㈠推动我县各银行业金融机构向上争取对霞浦县海洋重点产业、重点项目、成长型中小微企业给予信贷规模和政策倾斜，力争涉海贷款增速高于全县贷款平均增速。推动银行业金融机构结合海洋经济产业特点，优化信贷审批流程，鼓励有条件的银行业金融机构设立专营机构或专业支行，提高海洋经济信贷审批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㈡拓展海洋金融抵押贷款业务。加大对远洋渔业和现代海洋产业的融资支持力度。创新在建船舶抵押融资模式，鼓励成长型海洋高新技术企业以知识产权质押融资。规范发展应收账款质押、存货质押、组合担保贷款等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四、建立健全远洋渔业安全生产责任制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落实远洋渔业企业安全生产主体责任和船东、船长责任。强化安全生产监督管理,严格实行考核和责任追究制度;强化远洋渔业船位监测、标准化捕捞日志等管理措施;完善企业及船舶的安全生产管理制度,加强安全管理体系建设,提高安全风险防控和事故应急处置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五、附则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㈠本若干措施中第一条第㈡、㈢款的规定不予重复享受，且本若干措施有关奖励扶持条款与本级现行有效的其他经济发展鼓励扶持政策不予重复享受，按最高标准给予补助。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㈡受奖励企业（含渔船）自享受扶持补助之日起10年内迁离霞浦需全额退回补助资金。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㈢对企业或个人在申请政策资金过程中，有弄虚作假骗取、套取政策资金等违法违纪行为的，政策主管部门、财政部门有权依法依规取消其申请补助资金资格，追回骗取、套取的财政资金。同时，有关部门可依照《财政违法行为处罚处分条例》（国务院第427号令）的规定对当事企业、单位或个人予以处罚，并依法追究当事人和直接责任人责任；构成犯罪的，移交司法部门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㈣本若干措施自发布之日起施行，有效期二年，由县海洋与渔业局会同县财政局负责解释。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60" w:right="0" w:firstLine="467"/>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59" w:right="0" w:firstLine="5264"/>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59" w:right="0" w:firstLine="5424"/>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2018年5月16日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drawing>
          <wp:inline distT="0" distB="0" distL="114300" distR="114300">
            <wp:extent cx="56102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10225" cy="9525"/>
                    </a:xfrm>
                    <a:prstGeom prst="rect">
                      <a:avLst/>
                    </a:prstGeom>
                    <a:noFill/>
                    <a:ln w="9525">
                      <a:noFill/>
                    </a:ln>
                  </pic:spPr>
                </pic:pic>
              </a:graphicData>
            </a:graphic>
          </wp:inline>
        </w:draw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drawing>
          <wp:inline distT="0" distB="0" distL="114300" distR="114300">
            <wp:extent cx="56102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610225" cy="9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霞浦县人民政府办公室                                                                                 2018年5月18日印发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91487"/>
    <w:rsid w:val="5E39148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2018-06-06T07:24:00Z</dcterms:created>
  <dc:creator>lenovo</dc:creator>
  <cp:lastModifiedBy>lenovo</cp:lastModifiedBy>
  <dcterms:modified xsi:type="dcterms:W3CDTF">2018-06-06T07:24:45Z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