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33E" w:rsidRDefault="006A033E" w:rsidP="00A21A9D">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C20000"/>
          <w:sz w:val="39"/>
          <w:szCs w:val="39"/>
        </w:rPr>
        <w:t>亳州市人民政府关于支持中小微企业发展的意见</w:t>
      </w:r>
      <w:bookmarkStart w:id="0" w:name="_GoBack"/>
      <w:bookmarkEnd w:id="0"/>
    </w:p>
    <w:p w:rsidR="006A033E" w:rsidRDefault="006A033E" w:rsidP="00A21A9D">
      <w:pPr>
        <w:pStyle w:val="a3"/>
        <w:shd w:val="clear" w:color="auto" w:fill="FFFFFF"/>
        <w:spacing w:line="540" w:lineRule="atLeast"/>
        <w:rPr>
          <w:rFonts w:ascii="微软雅黑" w:eastAsia="微软雅黑" w:hAnsi="微软雅黑"/>
          <w:color w:val="454545"/>
        </w:rPr>
      </w:pPr>
    </w:p>
    <w:p w:rsidR="00A21A9D" w:rsidRDefault="00A21A9D" w:rsidP="00A21A9D">
      <w:pPr>
        <w:pStyle w:val="a3"/>
        <w:shd w:val="clear" w:color="auto" w:fill="FFFFFF"/>
        <w:spacing w:line="540" w:lineRule="atLeast"/>
        <w:rPr>
          <w:rFonts w:ascii="微软雅黑" w:eastAsia="微软雅黑" w:hAnsi="微软雅黑"/>
          <w:color w:val="454545"/>
        </w:rPr>
      </w:pPr>
      <w:r>
        <w:rPr>
          <w:rFonts w:ascii="微软雅黑" w:eastAsia="微软雅黑" w:hAnsi="微软雅黑" w:hint="eastAsia"/>
          <w:color w:val="454545"/>
        </w:rPr>
        <w:t>各县、区人民政府，市政府各部门、各直属机构：</w:t>
      </w:r>
      <w:r>
        <w:rPr>
          <w:rFonts w:ascii="微软雅黑" w:eastAsia="微软雅黑" w:hAnsi="微软雅黑" w:hint="eastAsia"/>
          <w:color w:val="454545"/>
        </w:rPr>
        <w:br/>
        <w:t xml:space="preserve">　　为认真贯彻落实市委、市政府《关于大力发展民营经济的实施意见》（</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发〔2013〕14号）精神，促进中小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持续、健康、快速发展，结合实际，提出如下意见：</w:t>
      </w:r>
      <w:r>
        <w:rPr>
          <w:rFonts w:ascii="微软雅黑" w:eastAsia="微软雅黑" w:hAnsi="微软雅黑" w:hint="eastAsia"/>
          <w:color w:val="454545"/>
        </w:rPr>
        <w:br/>
        <w:t xml:space="preserve">　　一、实施中小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成长计划</w:t>
      </w:r>
      <w:r>
        <w:rPr>
          <w:rFonts w:ascii="微软雅黑" w:eastAsia="微软雅黑" w:hAnsi="微软雅黑" w:hint="eastAsia"/>
          <w:color w:val="454545"/>
        </w:rPr>
        <w:br/>
        <w:t xml:space="preserve">　　（一）建立企业梯次成长扶持机制。每年在全市范围内从上年销售额增长20%以上、税收增长l5%以上的小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中，筛选200家企业进行重点培育。各县、区政府每年也要选择部分小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进行重点培育。个体工商户转为小型微型企业，创办并稳定经营的小微企业，以及小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成长为规模企业的，由县区政府给予一定的资金补贴。创办中小微企业，对无法提供房产证的，可由公司驻地的园区管委会、街道、村委会出具相关证明材料，各级工商部门据此办理注册登记手续。（责任单位：市经委、市工商局、市财政局、各县区政府等）</w:t>
      </w:r>
      <w:r>
        <w:rPr>
          <w:rFonts w:ascii="微软雅黑" w:eastAsia="微软雅黑" w:hAnsi="微软雅黑" w:hint="eastAsia"/>
          <w:color w:val="454545"/>
        </w:rPr>
        <w:br/>
        <w:t xml:space="preserve">　　（二）加大财政扶持力度。每年从市工业发展资金中安排1000万元的中小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成长资金，用于中小微企业管理创新、技术提升、人才培训、市场开拓，以及中小企业公共服务平台建设等方面的补助。（责任单位：市财政局、市经委等）</w:t>
      </w:r>
      <w:r>
        <w:rPr>
          <w:rFonts w:ascii="微软雅黑" w:eastAsia="微软雅黑" w:hAnsi="微软雅黑" w:hint="eastAsia"/>
          <w:color w:val="454545"/>
        </w:rPr>
        <w:br/>
        <w:t xml:space="preserve">　　二、支持企业多渠道融资发展</w:t>
      </w:r>
      <w:r>
        <w:rPr>
          <w:rFonts w:ascii="微软雅黑" w:eastAsia="微软雅黑" w:hAnsi="微软雅黑" w:hint="eastAsia"/>
          <w:color w:val="454545"/>
        </w:rPr>
        <w:br/>
        <w:t xml:space="preserve">　　（三）多形式开展银企对接活动。大力推进银政企对接工作，为中小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搭建融资平台，每年举行2-4次银企对接活动。建立优质中小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信贷名</w:t>
      </w:r>
      <w:r>
        <w:rPr>
          <w:rFonts w:ascii="微软雅黑" w:eastAsia="微软雅黑" w:hAnsi="微软雅黑" w:hint="eastAsia"/>
          <w:color w:val="454545"/>
        </w:rPr>
        <w:lastRenderedPageBreak/>
        <w:t>录库，定期向银行业金融机构推荐。（责任单位：市金融办、人行亳州市中支、亳州银</w:t>
      </w:r>
      <w:proofErr w:type="gramStart"/>
      <w:r>
        <w:rPr>
          <w:rFonts w:ascii="微软雅黑" w:eastAsia="微软雅黑" w:hAnsi="微软雅黑" w:hint="eastAsia"/>
          <w:color w:val="454545"/>
        </w:rPr>
        <w:t>监分局</w:t>
      </w:r>
      <w:proofErr w:type="gramEnd"/>
      <w:r>
        <w:rPr>
          <w:rFonts w:ascii="微软雅黑" w:eastAsia="微软雅黑" w:hAnsi="微软雅黑" w:hint="eastAsia"/>
          <w:color w:val="454545"/>
        </w:rPr>
        <w:t>等）</w:t>
      </w:r>
      <w:r>
        <w:rPr>
          <w:rFonts w:ascii="微软雅黑" w:eastAsia="微软雅黑" w:hAnsi="微软雅黑" w:hint="eastAsia"/>
          <w:color w:val="454545"/>
        </w:rPr>
        <w:br/>
        <w:t xml:space="preserve">　　（四）发挥创业引导资金作用。金融机构要积极为高校毕业生和退役士兵创业发放引导贷款，初始创业引导贷款额度不超过30万元，创业发展引导贷款总额不超过300万元。（责任单位：市人力资源社会保障局、市财政局、市金融办、人行亳州市中支等）</w:t>
      </w:r>
      <w:r>
        <w:rPr>
          <w:rFonts w:ascii="微软雅黑" w:eastAsia="微软雅黑" w:hAnsi="微软雅黑" w:hint="eastAsia"/>
          <w:color w:val="454545"/>
        </w:rPr>
        <w:br/>
        <w:t xml:space="preserve">　　（五）创新直接融资方式。鼓励中小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发行企业债、公司债、债务融资工具、</w:t>
      </w:r>
      <w:proofErr w:type="gramStart"/>
      <w:r>
        <w:rPr>
          <w:rFonts w:ascii="微软雅黑" w:eastAsia="微软雅黑" w:hAnsi="微软雅黑" w:hint="eastAsia"/>
          <w:color w:val="454545"/>
        </w:rPr>
        <w:t>区域集优集合</w:t>
      </w:r>
      <w:proofErr w:type="gramEnd"/>
      <w:r>
        <w:rPr>
          <w:rFonts w:ascii="微软雅黑" w:eastAsia="微软雅黑" w:hAnsi="微软雅黑" w:hint="eastAsia"/>
          <w:color w:val="454545"/>
        </w:rPr>
        <w:t>票据、企业私募债和上市融资，市、县区财政按照规定给予奖励和补助。支持中小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在全国中小企业股份转让系统和安徽省股权托管交易中心进行股权托管。（责任单位：市金融办、市财政局、各县区政府等）</w:t>
      </w:r>
      <w:r>
        <w:rPr>
          <w:rFonts w:ascii="微软雅黑" w:eastAsia="微软雅黑" w:hAnsi="微软雅黑" w:hint="eastAsia"/>
          <w:color w:val="454545"/>
        </w:rPr>
        <w:br/>
        <w:t xml:space="preserve">　　（六）拓宽小额贷款公司服务渠道。符合条件的小额贷款公司经核准可向多家银行借款，并向其主要股东定向借款；探索成立</w:t>
      </w:r>
      <w:proofErr w:type="gramStart"/>
      <w:r>
        <w:rPr>
          <w:rFonts w:ascii="微软雅黑" w:eastAsia="微软雅黑" w:hAnsi="微软雅黑" w:hint="eastAsia"/>
          <w:color w:val="454545"/>
        </w:rPr>
        <w:t>小额再</w:t>
      </w:r>
      <w:proofErr w:type="gramEnd"/>
      <w:r>
        <w:rPr>
          <w:rFonts w:ascii="微软雅黑" w:eastAsia="微软雅黑" w:hAnsi="微软雅黑" w:hint="eastAsia"/>
          <w:color w:val="454545"/>
        </w:rPr>
        <w:t>贷款公司。（责任单位：市金融办、人行亳州市中支、亳州银</w:t>
      </w:r>
      <w:proofErr w:type="gramStart"/>
      <w:r>
        <w:rPr>
          <w:rFonts w:ascii="微软雅黑" w:eastAsia="微软雅黑" w:hAnsi="微软雅黑" w:hint="eastAsia"/>
          <w:color w:val="454545"/>
        </w:rPr>
        <w:t>监分局</w:t>
      </w:r>
      <w:proofErr w:type="gramEnd"/>
      <w:r>
        <w:rPr>
          <w:rFonts w:ascii="微软雅黑" w:eastAsia="微软雅黑" w:hAnsi="微软雅黑" w:hint="eastAsia"/>
          <w:color w:val="454545"/>
        </w:rPr>
        <w:t>等）</w:t>
      </w:r>
      <w:r>
        <w:rPr>
          <w:rFonts w:ascii="微软雅黑" w:eastAsia="微软雅黑" w:hAnsi="微软雅黑" w:hint="eastAsia"/>
          <w:color w:val="454545"/>
        </w:rPr>
        <w:br/>
        <w:t xml:space="preserve">　　（七）建立风险分担机制。鼓励建立融资性担保机构与银行业金融机构</w:t>
      </w:r>
      <w:proofErr w:type="gramStart"/>
      <w:r>
        <w:rPr>
          <w:rFonts w:ascii="微软雅黑" w:eastAsia="微软雅黑" w:hAnsi="微软雅黑" w:hint="eastAsia"/>
          <w:color w:val="454545"/>
        </w:rPr>
        <w:t>间风险</w:t>
      </w:r>
      <w:proofErr w:type="gramEnd"/>
      <w:r>
        <w:rPr>
          <w:rFonts w:ascii="微软雅黑" w:eastAsia="微软雅黑" w:hAnsi="微软雅黑" w:hint="eastAsia"/>
          <w:color w:val="454545"/>
        </w:rPr>
        <w:t>分担机制，切实加强融资性担保业务风险防控。（责任单位：市金融办、人行亳州市中支、亳州银</w:t>
      </w:r>
      <w:proofErr w:type="gramStart"/>
      <w:r>
        <w:rPr>
          <w:rFonts w:ascii="微软雅黑" w:eastAsia="微软雅黑" w:hAnsi="微软雅黑" w:hint="eastAsia"/>
          <w:color w:val="454545"/>
        </w:rPr>
        <w:t>监分局</w:t>
      </w:r>
      <w:proofErr w:type="gramEnd"/>
      <w:r>
        <w:rPr>
          <w:rFonts w:ascii="微软雅黑" w:eastAsia="微软雅黑" w:hAnsi="微软雅黑" w:hint="eastAsia"/>
          <w:color w:val="454545"/>
        </w:rPr>
        <w:t>等）</w:t>
      </w:r>
      <w:r>
        <w:rPr>
          <w:rFonts w:ascii="微软雅黑" w:eastAsia="微软雅黑" w:hAnsi="微软雅黑" w:hint="eastAsia"/>
          <w:color w:val="454545"/>
        </w:rPr>
        <w:br/>
        <w:t xml:space="preserve">　　（八）鼓励担保公司扩大业务。对担保公司担保贷款放大倍数达到3倍以上，单户担保贷款300万元及以下，且年担保费率不超过3%的小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担保业务，年平均在保余额比上年增长20%以上的部分，按照不超过l%的比例给予补助。鼓励政府出资的担保公司扩大业务总量，提高放大倍数，担保贷款放大倍数要达到5倍以上。（责任单位：市经委、市金融办、市财政局、各县区</w:t>
      </w:r>
      <w:r>
        <w:rPr>
          <w:rFonts w:ascii="微软雅黑" w:eastAsia="微软雅黑" w:hAnsi="微软雅黑" w:hint="eastAsia"/>
          <w:color w:val="454545"/>
        </w:rPr>
        <w:lastRenderedPageBreak/>
        <w:t>政府等）</w:t>
      </w:r>
      <w:r>
        <w:rPr>
          <w:rFonts w:ascii="微软雅黑" w:eastAsia="微软雅黑" w:hAnsi="微软雅黑" w:hint="eastAsia"/>
          <w:color w:val="454545"/>
        </w:rPr>
        <w:br/>
        <w:t xml:space="preserve">　　（九）发挥中小企业助保金贷款作用。坚持市、县区财政每年新增不少于300万元作为中小企业助保金贷款风险补偿金，为助保金贷款增信。中小企业助保金贷款申报企业由市经委推荐，</w:t>
      </w:r>
      <w:proofErr w:type="gramStart"/>
      <w:r>
        <w:rPr>
          <w:rFonts w:ascii="微软雅黑" w:eastAsia="微软雅黑" w:hAnsi="微软雅黑" w:hint="eastAsia"/>
          <w:color w:val="454545"/>
        </w:rPr>
        <w:t>市助保金</w:t>
      </w:r>
      <w:proofErr w:type="gramEnd"/>
      <w:r>
        <w:rPr>
          <w:rFonts w:ascii="微软雅黑" w:eastAsia="微软雅黑" w:hAnsi="微软雅黑" w:hint="eastAsia"/>
          <w:color w:val="454545"/>
        </w:rPr>
        <w:t>管理委员会审核后办理。（责任单位：市金融办、市经委、各县区政府等）</w:t>
      </w:r>
      <w:r>
        <w:rPr>
          <w:rFonts w:ascii="微软雅黑" w:eastAsia="微软雅黑" w:hAnsi="微软雅黑" w:hint="eastAsia"/>
          <w:color w:val="454545"/>
        </w:rPr>
        <w:br/>
        <w:t xml:space="preserve">　　（十）大力推进中小企业应收账款、知识产权、库存产成品质押（抵押）融资业务。金融机构应加强对应收账款、知识产权、库存产成品质押（抵押）融资业务的宣传和培训力度，推广应收账款融资服务平台，为应收账款的债权人、债务人和资金提供方提供信息合作服务，盘活应收账款存量，促进应收账款融资业务创新，拓宽中小企业融资渠道。（责任单位：市金融办、人行亳州市中支、亳州银</w:t>
      </w:r>
      <w:proofErr w:type="gramStart"/>
      <w:r>
        <w:rPr>
          <w:rFonts w:ascii="微软雅黑" w:eastAsia="微软雅黑" w:hAnsi="微软雅黑" w:hint="eastAsia"/>
          <w:color w:val="454545"/>
        </w:rPr>
        <w:t>监分局</w:t>
      </w:r>
      <w:proofErr w:type="gramEnd"/>
      <w:r>
        <w:rPr>
          <w:rFonts w:ascii="微软雅黑" w:eastAsia="微软雅黑" w:hAnsi="微软雅黑" w:hint="eastAsia"/>
          <w:color w:val="454545"/>
        </w:rPr>
        <w:t>等）</w:t>
      </w:r>
      <w:r>
        <w:rPr>
          <w:rFonts w:ascii="微软雅黑" w:eastAsia="微软雅黑" w:hAnsi="微软雅黑" w:hint="eastAsia"/>
          <w:color w:val="454545"/>
        </w:rPr>
        <w:br/>
        <w:t xml:space="preserve">　　三、破解中小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用地难题</w:t>
      </w:r>
      <w:r>
        <w:rPr>
          <w:rFonts w:ascii="微软雅黑" w:eastAsia="微软雅黑" w:hAnsi="微软雅黑" w:hint="eastAsia"/>
          <w:color w:val="454545"/>
        </w:rPr>
        <w:br/>
        <w:t xml:space="preserve">　　（十一）鼓励中小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入驻标准化厂房。每年单列用地计划指标用于多层标准化厂房建设。5个省级经济开发区、工业园区每年都要建设不少于2万m2的标准化厂房。鼓励小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通过购买或租赁标准化厂房的方式解决生产经营和发展用地。对购买标准化厂房的小微企业，缴纳房产税和城镇土地使用税确有困难的，可按规定减免或延期缴纳。（责任单位：市国土资源局、市经济开发区管委会、市国税局、市地税局、各县区政府等）</w:t>
      </w:r>
      <w:r>
        <w:rPr>
          <w:rFonts w:ascii="微软雅黑" w:eastAsia="微软雅黑" w:hAnsi="微软雅黑" w:hint="eastAsia"/>
          <w:color w:val="454545"/>
        </w:rPr>
        <w:br/>
        <w:t xml:space="preserve">　　（十二）支持中小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使用集体建设用地。在符合土地利用总体规划和产业政策的前提下，允许中小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以流转方式使用集体建设用地。各县、区政府每年用地计划指标应向中小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倾斜。（责任单位：市国土资源局、各县区政府等）</w:t>
      </w:r>
      <w:r>
        <w:rPr>
          <w:rFonts w:ascii="微软雅黑" w:eastAsia="微软雅黑" w:hAnsi="微软雅黑" w:hint="eastAsia"/>
          <w:color w:val="454545"/>
        </w:rPr>
        <w:br/>
      </w:r>
      <w:r>
        <w:rPr>
          <w:rFonts w:ascii="微软雅黑" w:eastAsia="微软雅黑" w:hAnsi="微软雅黑" w:hint="eastAsia"/>
          <w:color w:val="454545"/>
        </w:rPr>
        <w:lastRenderedPageBreak/>
        <w:t xml:space="preserve">　　（十三）鼓励企业建设多层标准化厂房。对标准化厂房三层（含）以上部分由当地财政给予100元/ m2补贴。（责任单位：市财政局、各县区政府等）</w:t>
      </w:r>
      <w:r>
        <w:rPr>
          <w:rFonts w:ascii="微软雅黑" w:eastAsia="微软雅黑" w:hAnsi="微软雅黑" w:hint="eastAsia"/>
          <w:color w:val="454545"/>
        </w:rPr>
        <w:br/>
        <w:t xml:space="preserve">　　四、建立完善中小企业服务体系</w:t>
      </w:r>
      <w:r>
        <w:rPr>
          <w:rFonts w:ascii="微软雅黑" w:eastAsia="微软雅黑" w:hAnsi="微软雅黑" w:hint="eastAsia"/>
          <w:color w:val="454545"/>
        </w:rPr>
        <w:br/>
        <w:t xml:space="preserve">　　（十四）支持中小企业公共服务平台建设。重点培育国家、省认定的中小企业公共服务示范平台，发挥示范带动作用。实施中小企业公共服务平台网络建设工程，支持纳入省统筹建设的资源共享、服务协同的公共服务网络平台。（责任单位：市经委等）</w:t>
      </w:r>
      <w:r>
        <w:rPr>
          <w:rFonts w:ascii="微软雅黑" w:eastAsia="微软雅黑" w:hAnsi="微软雅黑" w:hint="eastAsia"/>
          <w:color w:val="454545"/>
        </w:rPr>
        <w:br/>
        <w:t xml:space="preserve">　　（十五）积极为中小企业提供优质服务。建立健全服务规范、服务评价和激励机制，优化配置服务资源，增强政策咨询、法律援助、技术服务、项目办理、创业创新、知识产权、投资融资、管理诊断、检验检测、人才培训、市场开拓、财务指导、信息化服务等各类服务功能，重点为小型微型企业提供质优价惠的服务。（责任单位：市经委、市人力资源社会保障局、市科技局、市商务局、市农委、市财政局、市质监局等）</w:t>
      </w:r>
      <w:r>
        <w:rPr>
          <w:rFonts w:ascii="微软雅黑" w:eastAsia="微软雅黑" w:hAnsi="微软雅黑" w:hint="eastAsia"/>
          <w:color w:val="454545"/>
        </w:rPr>
        <w:br/>
        <w:t xml:space="preserve">　　五、强化人才队伍建设</w:t>
      </w:r>
      <w:r>
        <w:rPr>
          <w:rFonts w:ascii="微软雅黑" w:eastAsia="微软雅黑" w:hAnsi="微软雅黑" w:hint="eastAsia"/>
          <w:color w:val="454545"/>
        </w:rPr>
        <w:br/>
        <w:t xml:space="preserve">　　（十六）加强高管人员培训。市财政每年从工业发展资金中安排150万元，用于与国内知名高校加强合作，定期举办企业高层管理人员EMBA班、高级研修班等各项培训，5年内培训不少于3000名企业家和高层经营管理人员。（责任单位：市经委、市财政局等）</w:t>
      </w:r>
      <w:r>
        <w:rPr>
          <w:rFonts w:ascii="微软雅黑" w:eastAsia="微软雅黑" w:hAnsi="微软雅黑" w:hint="eastAsia"/>
          <w:color w:val="454545"/>
        </w:rPr>
        <w:br/>
        <w:t xml:space="preserve">　　（十七）支持企业加强技术人员培育。支持企业与科研院校加强合作，开展高技术人员能力提升培训，培训所需经费从就业专项资金中列支。（责任单位：市人力资源社会保障局、市财政局等）</w:t>
      </w:r>
      <w:r>
        <w:rPr>
          <w:rFonts w:ascii="微软雅黑" w:eastAsia="微软雅黑" w:hAnsi="微软雅黑" w:hint="eastAsia"/>
          <w:color w:val="454545"/>
        </w:rPr>
        <w:br/>
      </w:r>
      <w:r>
        <w:rPr>
          <w:rFonts w:ascii="微软雅黑" w:eastAsia="微软雅黑" w:hAnsi="微软雅黑" w:hint="eastAsia"/>
          <w:color w:val="454545"/>
        </w:rPr>
        <w:lastRenderedPageBreak/>
        <w:t xml:space="preserve">　　（十八）鼓励引进高层次人才。引导有条件的企业面向国内外招聘经营管理人才，提升我市企业经营管理人员的层次和水平。（责任单位：市人力资源社会保障局、各县区政府等）</w:t>
      </w:r>
      <w:r>
        <w:rPr>
          <w:rFonts w:ascii="微软雅黑" w:eastAsia="微软雅黑" w:hAnsi="微软雅黑" w:hint="eastAsia"/>
          <w:color w:val="454545"/>
        </w:rPr>
        <w:br/>
        <w:t xml:space="preserve">　　（十九）鼓励企业加强职工教育培训。企业要将职工工资总额2.5%列支的职工教育培训经费列入成本开支，超过2.5%部分准予在以后纳税年度结转扣除。（责任单位：市人力资源社会保障局、市国税局、市地税局等）</w:t>
      </w:r>
      <w:r>
        <w:rPr>
          <w:rFonts w:ascii="微软雅黑" w:eastAsia="微软雅黑" w:hAnsi="微软雅黑" w:hint="eastAsia"/>
          <w:color w:val="454545"/>
        </w:rPr>
        <w:br/>
        <w:t xml:space="preserve">　　六、发挥行业协会的职能作用</w:t>
      </w:r>
      <w:r>
        <w:rPr>
          <w:rFonts w:ascii="微软雅黑" w:eastAsia="微软雅黑" w:hAnsi="微软雅黑" w:hint="eastAsia"/>
          <w:color w:val="454545"/>
        </w:rPr>
        <w:br/>
        <w:t xml:space="preserve">　　（二十）支持、鼓励以企业为主体成立各类主导特色产业商会协会。强化行业协会组织、协调、服务职能，协调处理好各类企业关系，发挥各行业协会在产业协作过程中的优势，为会员提供信息、人员培训等专业服务，促进企业间生产技术、产品标准、管理规范的进一步提升，推进产业协作配套。（责任单位：市民政局、市经委、市工商联等）</w:t>
      </w:r>
      <w:r>
        <w:rPr>
          <w:rFonts w:ascii="微软雅黑" w:eastAsia="微软雅黑" w:hAnsi="微软雅黑" w:hint="eastAsia"/>
          <w:color w:val="454545"/>
        </w:rPr>
        <w:br/>
        <w:t xml:space="preserve">　　七、深入开展帮扶企业活动</w:t>
      </w:r>
      <w:r>
        <w:rPr>
          <w:rFonts w:ascii="微软雅黑" w:eastAsia="微软雅黑" w:hAnsi="微软雅黑" w:hint="eastAsia"/>
          <w:color w:val="454545"/>
        </w:rPr>
        <w:br/>
        <w:t xml:space="preserve">　　（二十一）深入开展“千名干部联系服务千家企业’活动，密切企业与政府之间的沟通协调。进一步加强机关干部与企业联系，增强干部为企业服务意识，协助企业做好科技创新、项目申报等工作，积极帮助企业办理行政许可等事项，指导企业加强先进文化建设和人才队伍建设，优化企业发展外部环境。（责任单位：市联企办、市经委等）</w:t>
      </w:r>
      <w:r>
        <w:rPr>
          <w:rFonts w:ascii="微软雅黑" w:eastAsia="微软雅黑" w:hAnsi="微软雅黑" w:hint="eastAsia"/>
          <w:color w:val="454545"/>
        </w:rPr>
        <w:br/>
        <w:t xml:space="preserve">　　八、切实减轻企业负担</w:t>
      </w:r>
      <w:r>
        <w:rPr>
          <w:rFonts w:ascii="微软雅黑" w:eastAsia="微软雅黑" w:hAnsi="微软雅黑" w:hint="eastAsia"/>
          <w:color w:val="454545"/>
        </w:rPr>
        <w:br/>
        <w:t xml:space="preserve">　　（二十二）继续执行对企业社会保险缓降补政策。允许重点帮扶企业缓缴养老、医疗、失业、工伤、职工生育五项社会保险费，降低参保企业的失业、生育保险费费率和缴费基数，对参保企业实行岗位补贴。此政策延续执行至</w:t>
      </w:r>
      <w:r>
        <w:rPr>
          <w:rFonts w:ascii="微软雅黑" w:eastAsia="微软雅黑" w:hAnsi="微软雅黑" w:hint="eastAsia"/>
          <w:color w:val="454545"/>
        </w:rPr>
        <w:lastRenderedPageBreak/>
        <w:t>2017年底。（责任单位：市人力资源社会保障局等）</w:t>
      </w:r>
      <w:r>
        <w:rPr>
          <w:rFonts w:ascii="微软雅黑" w:eastAsia="微软雅黑" w:hAnsi="微软雅黑" w:hint="eastAsia"/>
          <w:color w:val="454545"/>
        </w:rPr>
        <w:br/>
        <w:t xml:space="preserve">　　（二十三）强化中小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金融服务行为监管。各银行业金融机构严格执行“不准以贷转存、不准存贷挂钩、不准以贷收费、不准浮利分费、不准借贷搭售、不准一浮到顶、不准转嫁成本”等“七不准”的要求。除银团贷款外，不得对中小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贷款收取承诺费、资金管理费，严格限制对中小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及其增</w:t>
      </w:r>
      <w:proofErr w:type="gramStart"/>
      <w:r>
        <w:rPr>
          <w:rFonts w:ascii="微软雅黑" w:eastAsia="微软雅黑" w:hAnsi="微软雅黑" w:hint="eastAsia"/>
          <w:color w:val="454545"/>
        </w:rPr>
        <w:t>信机构</w:t>
      </w:r>
      <w:proofErr w:type="gramEnd"/>
      <w:r>
        <w:rPr>
          <w:rFonts w:ascii="微软雅黑" w:eastAsia="微软雅黑" w:hAnsi="微软雅黑" w:hint="eastAsia"/>
          <w:color w:val="454545"/>
        </w:rPr>
        <w:t>收取财务顾问费、咨询费等费用；严禁在发放贷款时附加不合理的贷款条件。（责任单位：市金融办、亳州银监分局、人行亳州市中支等）</w:t>
      </w:r>
      <w:r>
        <w:rPr>
          <w:rFonts w:ascii="微软雅黑" w:eastAsia="微软雅黑" w:hAnsi="微软雅黑" w:hint="eastAsia"/>
          <w:color w:val="454545"/>
        </w:rPr>
        <w:br/>
        <w:t xml:space="preserve">　　九、支持企业开拓市场</w:t>
      </w:r>
      <w:r>
        <w:rPr>
          <w:rFonts w:ascii="微软雅黑" w:eastAsia="微软雅黑" w:hAnsi="微软雅黑" w:hint="eastAsia"/>
          <w:color w:val="454545"/>
        </w:rPr>
        <w:br/>
        <w:t xml:space="preserve">　　（二十四）支持中小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参加各</w:t>
      </w:r>
      <w:proofErr w:type="gramStart"/>
      <w:r>
        <w:rPr>
          <w:rFonts w:ascii="微软雅黑" w:eastAsia="微软雅黑" w:hAnsi="微软雅黑" w:hint="eastAsia"/>
          <w:color w:val="454545"/>
        </w:rPr>
        <w:t>类展示</w:t>
      </w:r>
      <w:proofErr w:type="gramEnd"/>
      <w:r>
        <w:rPr>
          <w:rFonts w:ascii="微软雅黑" w:eastAsia="微软雅黑" w:hAnsi="微软雅黑" w:hint="eastAsia"/>
          <w:color w:val="454545"/>
        </w:rPr>
        <w:t>展销活动。对企业参加全市统一组织的境内外重点商品展销会的，按实际展位费和1名参展人员费用的20%给予补助，单个企业支持金额最高不超过15万元。（责任单位：市商务局、市经委、市农委、市财政局等）</w:t>
      </w:r>
      <w:r>
        <w:rPr>
          <w:rFonts w:ascii="微软雅黑" w:eastAsia="微软雅黑" w:hAnsi="微软雅黑" w:hint="eastAsia"/>
          <w:color w:val="454545"/>
        </w:rPr>
        <w:br/>
        <w:t xml:space="preserve">　　（二十五）积极组织地产品产需对接活动。建立亳州市名优地产品名录库，全市各级行政机关、事业单位、国有及国有控股企业在工程招投标和采购物品时，在同等条件下优先采购地产品。（责任单位：市经委、市招投标管理局、各县区政府等）</w:t>
      </w:r>
      <w:r>
        <w:rPr>
          <w:rFonts w:ascii="微软雅黑" w:eastAsia="微软雅黑" w:hAnsi="微软雅黑" w:hint="eastAsia"/>
          <w:color w:val="454545"/>
        </w:rPr>
        <w:br/>
        <w:t xml:space="preserve">　　（二十六）鼓励开展电子商务。利用互联网的广域性、即时性，抱团组建产品系列丰富、价格层次多样的网上销售终端平台，开拓中小</w:t>
      </w:r>
      <w:proofErr w:type="gramStart"/>
      <w:r>
        <w:rPr>
          <w:rFonts w:ascii="微软雅黑" w:eastAsia="微软雅黑" w:hAnsi="微软雅黑" w:hint="eastAsia"/>
          <w:color w:val="454545"/>
        </w:rPr>
        <w:t>微企业</w:t>
      </w:r>
      <w:proofErr w:type="gramEnd"/>
      <w:r>
        <w:rPr>
          <w:rFonts w:ascii="微软雅黑" w:eastAsia="微软雅黑" w:hAnsi="微软雅黑" w:hint="eastAsia"/>
          <w:color w:val="454545"/>
        </w:rPr>
        <w:t>市场营销新模式。（责任单位：市商务局、市经委等）</w:t>
      </w:r>
    </w:p>
    <w:p w:rsidR="00C12F83" w:rsidRDefault="00A21A9D" w:rsidP="00A21A9D">
      <w:pPr>
        <w:jc w:val="right"/>
      </w:pPr>
      <w:r>
        <w:rPr>
          <w:rFonts w:ascii="微软雅黑" w:eastAsia="微软雅黑" w:hAnsi="微软雅黑" w:hint="eastAsia"/>
          <w:color w:val="454545"/>
        </w:rPr>
        <w:t xml:space="preserve">　2014年8月8日</w:t>
      </w:r>
    </w:p>
    <w:sectPr w:rsidR="00C12F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33"/>
    <w:rsid w:val="006A033E"/>
    <w:rsid w:val="00A21A9D"/>
    <w:rsid w:val="00C12F83"/>
    <w:rsid w:val="00CC7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F019"/>
  <w15:chartTrackingRefBased/>
  <w15:docId w15:val="{334A5FE3-C96A-46E7-A55F-4110E484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A9D"/>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5387">
      <w:bodyDiv w:val="1"/>
      <w:marLeft w:val="0"/>
      <w:marRight w:val="0"/>
      <w:marTop w:val="0"/>
      <w:marBottom w:val="0"/>
      <w:divBdr>
        <w:top w:val="none" w:sz="0" w:space="0" w:color="auto"/>
        <w:left w:val="none" w:sz="0" w:space="0" w:color="auto"/>
        <w:bottom w:val="none" w:sz="0" w:space="0" w:color="auto"/>
        <w:right w:val="none" w:sz="0" w:space="0" w:color="auto"/>
      </w:divBdr>
      <w:divsChild>
        <w:div w:id="557206844">
          <w:marLeft w:val="0"/>
          <w:marRight w:val="0"/>
          <w:marTop w:val="0"/>
          <w:marBottom w:val="0"/>
          <w:divBdr>
            <w:top w:val="single" w:sz="6" w:space="8" w:color="F5F5F5"/>
            <w:left w:val="single" w:sz="6" w:space="8" w:color="F5F5F5"/>
            <w:bottom w:val="single" w:sz="6" w:space="8" w:color="F5F5F5"/>
            <w:right w:val="single" w:sz="6" w:space="8" w:color="F5F5F5"/>
          </w:divBdr>
          <w:divsChild>
            <w:div w:id="311176166">
              <w:marLeft w:val="0"/>
              <w:marRight w:val="0"/>
              <w:marTop w:val="0"/>
              <w:marBottom w:val="225"/>
              <w:divBdr>
                <w:top w:val="none" w:sz="0" w:space="0" w:color="auto"/>
                <w:left w:val="none" w:sz="0" w:space="0" w:color="auto"/>
                <w:bottom w:val="none" w:sz="0" w:space="0" w:color="auto"/>
                <w:right w:val="none" w:sz="0" w:space="0" w:color="auto"/>
              </w:divBdr>
              <w:divsChild>
                <w:div w:id="18799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2018-05-10T07:48:00Z</dcterms:created>
  <dcterms:modified xsi:type="dcterms:W3CDTF">2018-10-10T04:52:00Z</dcterms:modified>
</cp:coreProperties>
</file>