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982" w:rsidRPr="00E05982" w:rsidRDefault="00E05982" w:rsidP="00E05982">
      <w:pPr>
        <w:widowControl/>
        <w:spacing w:before="225" w:line="720" w:lineRule="atLeast"/>
        <w:jc w:val="center"/>
        <w:outlineLvl w:val="1"/>
        <w:rPr>
          <w:rFonts w:ascii="微软雅黑" w:eastAsia="微软雅黑" w:hAnsi="微软雅黑" w:cs="宋体"/>
          <w:color w:val="2E2E2E"/>
          <w:kern w:val="0"/>
          <w:sz w:val="30"/>
          <w:szCs w:val="30"/>
        </w:rPr>
      </w:pPr>
      <w:r w:rsidRPr="00E05982">
        <w:rPr>
          <w:rFonts w:ascii="微软雅黑" w:eastAsia="微软雅黑" w:hAnsi="微软雅黑" w:cs="宋体" w:hint="eastAsia"/>
          <w:color w:val="2E2E2E"/>
          <w:kern w:val="0"/>
          <w:sz w:val="30"/>
          <w:szCs w:val="30"/>
        </w:rPr>
        <w:t>中共松原市委办公室 松原市人民政府办公室关于印发《松原市招商引资政策》的通知（松办发〔2018〕26号）</w:t>
      </w:r>
    </w:p>
    <w:p w:rsidR="00E05982" w:rsidRPr="00E05982" w:rsidRDefault="00E05982" w:rsidP="00E05982">
      <w:pPr>
        <w:widowControl/>
        <w:jc w:val="center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E05982">
        <w:rPr>
          <w:rFonts w:ascii="微软雅黑" w:eastAsia="微软雅黑" w:hAnsi="微软雅黑" w:cs="宋体" w:hint="eastAsia"/>
          <w:color w:val="2E2E2E"/>
          <w:kern w:val="0"/>
          <w:szCs w:val="21"/>
        </w:rPr>
        <w:t>2018-05-11</w:t>
      </w:r>
    </w:p>
    <w:p w:rsidR="00E05982" w:rsidRPr="00E05982" w:rsidRDefault="00E05982" w:rsidP="00E05982">
      <w:pPr>
        <w:widowControl/>
        <w:jc w:val="righ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hyperlink r:id="rId6" w:history="1">
        <w:r w:rsidRPr="00E05982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  <w:bdr w:val="single" w:sz="6" w:space="0" w:color="DADADA" w:frame="1"/>
          </w:rPr>
          <w:t>打印</w:t>
        </w:r>
      </w:hyperlink>
    </w:p>
    <w:p w:rsidR="00E05982" w:rsidRPr="00E05982" w:rsidRDefault="00E05982" w:rsidP="00E05982">
      <w:pPr>
        <w:widowControl/>
        <w:spacing w:before="150" w:after="150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E05982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各县、市、区党委和人民政府，各开发区，市委各部、委、室，市政府各委、办、局，各人民团体：</w:t>
      </w:r>
    </w:p>
    <w:p w:rsidR="00E05982" w:rsidRPr="00E05982" w:rsidRDefault="00E05982" w:rsidP="00E05982">
      <w:pPr>
        <w:widowControl/>
        <w:spacing w:before="150" w:after="150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E05982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《松原市招商引资政策》已经市委、市政府同意，现印发给你们，请结合实际认真贯彻落实。</w:t>
      </w:r>
    </w:p>
    <w:p w:rsidR="00E05982" w:rsidRPr="00E05982" w:rsidRDefault="00E05982" w:rsidP="00E05982">
      <w:pPr>
        <w:widowControl/>
        <w:spacing w:before="150" w:after="150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E05982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 xml:space="preserve">　　</w:t>
      </w:r>
      <w:r w:rsidRPr="00E05982">
        <w:rPr>
          <w:rFonts w:ascii="Calibri" w:eastAsia="仿宋" w:hAnsi="Calibri" w:cs="Calibri"/>
          <w:color w:val="2E2E2E"/>
          <w:kern w:val="0"/>
          <w:sz w:val="32"/>
          <w:szCs w:val="32"/>
        </w:rPr>
        <w:t>                                                   </w:t>
      </w:r>
    </w:p>
    <w:p w:rsidR="00E05982" w:rsidRPr="00E05982" w:rsidRDefault="00E05982" w:rsidP="00E05982">
      <w:pPr>
        <w:widowControl/>
        <w:spacing w:before="150" w:after="150"/>
        <w:ind w:firstLine="480"/>
        <w:jc w:val="righ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E05982">
        <w:rPr>
          <w:rFonts w:ascii="Calibri" w:eastAsia="仿宋" w:hAnsi="Calibri" w:cs="Calibri"/>
          <w:color w:val="2E2E2E"/>
          <w:kern w:val="0"/>
          <w:sz w:val="32"/>
          <w:szCs w:val="32"/>
        </w:rPr>
        <w:t>  </w:t>
      </w:r>
      <w:r w:rsidRPr="00E05982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中共松原市委办公室</w:t>
      </w:r>
    </w:p>
    <w:p w:rsidR="00E05982" w:rsidRPr="00E05982" w:rsidRDefault="00E05982" w:rsidP="00E05982">
      <w:pPr>
        <w:widowControl/>
        <w:spacing w:before="150" w:after="150"/>
        <w:ind w:firstLine="480"/>
        <w:jc w:val="righ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E05982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松原市人民政府办公室</w:t>
      </w:r>
    </w:p>
    <w:p w:rsidR="00E05982" w:rsidRPr="00E05982" w:rsidRDefault="00E05982" w:rsidP="00E05982">
      <w:pPr>
        <w:widowControl/>
        <w:spacing w:before="150" w:after="150"/>
        <w:ind w:firstLine="480"/>
        <w:jc w:val="righ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E05982">
        <w:rPr>
          <w:rFonts w:ascii="Calibri" w:eastAsia="仿宋" w:hAnsi="Calibri" w:cs="Calibri"/>
          <w:color w:val="2E2E2E"/>
          <w:kern w:val="0"/>
          <w:sz w:val="32"/>
          <w:szCs w:val="32"/>
        </w:rPr>
        <w:t>                       </w:t>
      </w:r>
      <w:r w:rsidRPr="00E05982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2018年4月26日</w:t>
      </w:r>
    </w:p>
    <w:p w:rsidR="00E05982" w:rsidRPr="00E05982" w:rsidRDefault="00E05982" w:rsidP="00E05982">
      <w:pPr>
        <w:widowControl/>
        <w:spacing w:before="150" w:after="150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E05982">
        <w:rPr>
          <w:rFonts w:ascii="微软雅黑" w:eastAsia="微软雅黑" w:hAnsi="微软雅黑" w:cs="宋体" w:hint="eastAsia"/>
          <w:color w:val="2E2E2E"/>
          <w:kern w:val="0"/>
          <w:szCs w:val="21"/>
        </w:rPr>
        <w:t> </w:t>
      </w:r>
    </w:p>
    <w:p w:rsidR="00E05982" w:rsidRPr="00E05982" w:rsidRDefault="00E05982" w:rsidP="00E05982">
      <w:pPr>
        <w:widowControl/>
        <w:spacing w:before="150" w:after="150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E05982">
        <w:rPr>
          <w:rFonts w:ascii="微软雅黑" w:eastAsia="微软雅黑" w:hAnsi="微软雅黑" w:cs="宋体" w:hint="eastAsia"/>
          <w:color w:val="2E2E2E"/>
          <w:kern w:val="0"/>
          <w:szCs w:val="21"/>
        </w:rPr>
        <w:t> </w:t>
      </w:r>
    </w:p>
    <w:p w:rsidR="00E05982" w:rsidRPr="00E05982" w:rsidRDefault="00E05982" w:rsidP="00E05982">
      <w:pPr>
        <w:widowControl/>
        <w:spacing w:before="150" w:after="150" w:line="576" w:lineRule="atLeast"/>
        <w:ind w:firstLine="480"/>
        <w:jc w:val="center"/>
        <w:rPr>
          <w:rFonts w:ascii="宋体" w:eastAsia="宋体" w:hAnsi="宋体" w:cs="宋体" w:hint="eastAsia"/>
          <w:color w:val="2E2E2E"/>
          <w:kern w:val="0"/>
          <w:sz w:val="24"/>
          <w:szCs w:val="24"/>
        </w:rPr>
      </w:pPr>
      <w:r w:rsidRPr="00E05982">
        <w:rPr>
          <w:rFonts w:ascii="宋体" w:eastAsia="宋体" w:hAnsi="宋体" w:cs="宋体" w:hint="eastAsia"/>
          <w:b/>
          <w:bCs/>
          <w:color w:val="2E2E2E"/>
          <w:kern w:val="0"/>
          <w:sz w:val="44"/>
          <w:szCs w:val="44"/>
        </w:rPr>
        <w:t>松原市招商引资政策</w:t>
      </w:r>
    </w:p>
    <w:p w:rsidR="00E05982" w:rsidRPr="00E05982" w:rsidRDefault="00E05982" w:rsidP="00E05982">
      <w:pPr>
        <w:widowControl/>
        <w:spacing w:before="150" w:after="150" w:line="576" w:lineRule="atLeast"/>
        <w:ind w:firstLine="480"/>
        <w:jc w:val="center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宋体" w:eastAsia="宋体" w:hAnsi="宋体" w:cs="宋体"/>
          <w:color w:val="2E2E2E"/>
          <w:kern w:val="0"/>
          <w:sz w:val="24"/>
          <w:szCs w:val="24"/>
        </w:rPr>
        <w:t> </w:t>
      </w:r>
      <w:r w:rsidRPr="00E05982">
        <w:rPr>
          <w:rFonts w:ascii="楷体_GB2312" w:eastAsia="楷体_GB2312" w:hAnsi="宋体" w:cs="宋体" w:hint="eastAsia"/>
          <w:color w:val="2E2E2E"/>
          <w:kern w:val="0"/>
          <w:sz w:val="33"/>
          <w:szCs w:val="33"/>
        </w:rPr>
        <w:t> </w:t>
      </w:r>
    </w:p>
    <w:p w:rsidR="00E05982" w:rsidRPr="00E05982" w:rsidRDefault="00E05982" w:rsidP="00E05982">
      <w:pPr>
        <w:widowControl/>
        <w:spacing w:before="150" w:after="150" w:line="576" w:lineRule="atLeast"/>
        <w:ind w:firstLine="640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为进一步加大全市招商引资工作力度，吸引和鼓励更多外来投资者到我市投资兴业，促进我市经济快速发展和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lastRenderedPageBreak/>
        <w:t>转型升级，依据国家、吉林省相关政策法规，结合我市实际，特制订本政策。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3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仿宋_GB2312" w:eastAsia="仿宋_GB2312" w:hAnsi="宋体" w:cs="宋体" w:hint="eastAsia"/>
          <w:b/>
          <w:bCs/>
          <w:color w:val="2E2E2E"/>
          <w:kern w:val="0"/>
          <w:sz w:val="33"/>
          <w:szCs w:val="33"/>
        </w:rPr>
        <w:t>第一条</w:t>
      </w:r>
      <w:r w:rsidRPr="00E05982">
        <w:rPr>
          <w:rFonts w:ascii="仿宋_GB2312" w:eastAsia="仿宋_GB2312" w:hAnsi="宋体" w:cs="宋体" w:hint="eastAsia"/>
          <w:b/>
          <w:bCs/>
          <w:color w:val="2E2E2E"/>
          <w:kern w:val="0"/>
          <w:sz w:val="33"/>
          <w:szCs w:val="33"/>
        </w:rPr>
        <w:t>  </w:t>
      </w:r>
      <w:r w:rsidRPr="00E05982">
        <w:rPr>
          <w:rFonts w:ascii="仿宋_GB2312" w:eastAsia="仿宋_GB2312" w:hAnsi="宋体" w:cs="宋体" w:hint="eastAsia"/>
          <w:b/>
          <w:bCs/>
          <w:color w:val="2E2E2E"/>
          <w:kern w:val="0"/>
          <w:sz w:val="33"/>
          <w:szCs w:val="33"/>
        </w:rPr>
        <w:t>本政策所扶持招商引资项目，必须同时符合以下条件：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0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1.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固定资产投资额（包括厂房、设备和地价款）在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1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亿元以上（含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1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亿元）；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0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2.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投资强度不低于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2000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元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/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平方米，选址松原经济技术开发区项目，投资强度不低于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4000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元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/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平方米；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0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3.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税收贡献度不低于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200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元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/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平方米；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0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4.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符合我市产业定位，不包括基础设施、房地产、矿类开采项目。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3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仿宋_GB2312" w:eastAsia="仿宋_GB2312" w:hAnsi="宋体" w:cs="宋体" w:hint="eastAsia"/>
          <w:b/>
          <w:bCs/>
          <w:color w:val="2E2E2E"/>
          <w:kern w:val="0"/>
          <w:sz w:val="33"/>
          <w:szCs w:val="33"/>
        </w:rPr>
        <w:t>第二条</w:t>
      </w:r>
      <w:r w:rsidRPr="00E05982">
        <w:rPr>
          <w:rFonts w:ascii="仿宋_GB2312" w:eastAsia="仿宋_GB2312" w:hAnsi="宋体" w:cs="宋体" w:hint="eastAsia"/>
          <w:b/>
          <w:bCs/>
          <w:color w:val="2E2E2E"/>
          <w:kern w:val="0"/>
          <w:sz w:val="33"/>
          <w:szCs w:val="33"/>
        </w:rPr>
        <w:t>  </w:t>
      </w:r>
      <w:r w:rsidRPr="00E05982">
        <w:rPr>
          <w:rFonts w:ascii="仿宋_GB2312" w:eastAsia="仿宋_GB2312" w:hAnsi="宋体" w:cs="宋体" w:hint="eastAsia"/>
          <w:b/>
          <w:bCs/>
          <w:color w:val="2E2E2E"/>
          <w:kern w:val="0"/>
          <w:sz w:val="33"/>
          <w:szCs w:val="33"/>
        </w:rPr>
        <w:t>设立重点招商引资产业项目扶持资金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。资金在市本级、县（市、区）和开发区招商引资企业新增加财政收入中解决。重点鼓励引进符合我市主导产业方向，能够充分整合我市优势资源，有效延伸和补强产业链条，对于推动我市产业结构转型具有重大意义的优势项目。分别设立投资进度奖、发展贡献奖和企业经营奖。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3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楷体" w:eastAsia="楷体" w:hAnsi="楷体" w:cs="宋体" w:hint="eastAsia"/>
          <w:b/>
          <w:bCs/>
          <w:color w:val="2E2E2E"/>
          <w:kern w:val="0"/>
          <w:sz w:val="33"/>
          <w:szCs w:val="33"/>
        </w:rPr>
        <w:t>（一）投资进度奖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0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各县（市、区）和开发区按照项目固定资产投资总额、投资强度和财政贡献度，确定投资进度奖奖励标准，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lastRenderedPageBreak/>
        <w:t>给予投资企业重点招商引资产业项目扶持资金奖励。奖励资金由市本级、县（市、区）和开发区按财政受益比例分级承担。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0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从土地摘牌之日起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1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年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(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固定资产投资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5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亿元以上项目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2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年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)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内，固定资产投资完成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50%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以上的项目，第一次申报投资进度奖，按该项目奖励标准的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30%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给予奖励；项目按投资合同约定时限完成固定资产投资并正式投产，第二次申报投资进度奖，按该项目奖励标准的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30%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给予奖励；项目投产后按投资合同约定时限达到约定经营指标，第三次申报投资进度奖，按该项目奖励标准的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40%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给予奖励。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0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如没有按照投资合同约定完成项目进度，则不予奖励。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3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楷体" w:eastAsia="楷体" w:hAnsi="楷体" w:cs="宋体" w:hint="eastAsia"/>
          <w:b/>
          <w:bCs/>
          <w:color w:val="2E2E2E"/>
          <w:kern w:val="0"/>
          <w:sz w:val="33"/>
          <w:szCs w:val="33"/>
        </w:rPr>
        <w:t>（二）发展贡献奖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0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项目完成固定资产投资，从实现销售收入之日起，对其除土地使用等之外形成的地方财政贡献部分，给予发展贡献奖，前5年每年给予50%奖励。奖励资金由市本级、县（市、区）和开发区按财政受益比例分级承担。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3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楷体" w:eastAsia="楷体" w:hAnsi="楷体" w:cs="宋体" w:hint="eastAsia"/>
          <w:b/>
          <w:bCs/>
          <w:color w:val="2E2E2E"/>
          <w:kern w:val="0"/>
          <w:sz w:val="33"/>
          <w:szCs w:val="33"/>
        </w:rPr>
        <w:t>（三）企业经营奖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0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对新引进的招商引资项目，项目投产达效当年的主营业务收入达到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2000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万元以上，即达到统计部门认定的规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lastRenderedPageBreak/>
        <w:t>模以上标准，给予企业经营奖，一次性给予企业</w:t>
      </w:r>
      <w:r w:rsidRPr="00E05982">
        <w:rPr>
          <w:rFonts w:ascii="Times New Roman" w:eastAsia="宋体" w:hAnsi="Times New Roman" w:cs="Times New Roman"/>
          <w:color w:val="2E2E2E"/>
          <w:kern w:val="0"/>
          <w:sz w:val="33"/>
          <w:szCs w:val="33"/>
        </w:rPr>
        <w:t>10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万元奖励，奖励资金由市级财政予以承担。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0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企业经营奖申报办法：由项目单位向所在地招商引资部门提出申请，并提供相关证明材料，由当地招商引资部门、工信部门和统计部门共同审核，并提出初审意见。申报材料和初审意见报市招商引资工作领导小组办公室，经市长办公会审定后，由市财政部门给予兑现。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3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仿宋_GB2312" w:eastAsia="仿宋_GB2312" w:hAnsi="宋体" w:cs="宋体" w:hint="eastAsia"/>
          <w:b/>
          <w:bCs/>
          <w:color w:val="2E2E2E"/>
          <w:kern w:val="0"/>
          <w:sz w:val="33"/>
          <w:szCs w:val="33"/>
        </w:rPr>
        <w:t>第三条</w:t>
      </w:r>
      <w:r w:rsidRPr="00E05982">
        <w:rPr>
          <w:rFonts w:ascii="仿宋_GB2312" w:eastAsia="仿宋_GB2312" w:hAnsi="宋体" w:cs="宋体" w:hint="eastAsia"/>
          <w:b/>
          <w:bCs/>
          <w:color w:val="2E2E2E"/>
          <w:kern w:val="0"/>
          <w:sz w:val="33"/>
          <w:szCs w:val="33"/>
        </w:rPr>
        <w:t>  </w:t>
      </w:r>
      <w:r w:rsidRPr="00E05982">
        <w:rPr>
          <w:rFonts w:ascii="仿宋_GB2312" w:eastAsia="仿宋_GB2312" w:hAnsi="宋体" w:cs="宋体" w:hint="eastAsia"/>
          <w:b/>
          <w:bCs/>
          <w:color w:val="2E2E2E"/>
          <w:kern w:val="0"/>
          <w:sz w:val="33"/>
          <w:szCs w:val="33"/>
        </w:rPr>
        <w:t>鼓励企业引进人才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。企业聘用的高级管理人员和高级专业技术人员，受聘期间由所在县（市、区）、开发区提供免费生活用房，并在子女就学、入托、就医、配偶工作安置等方面给予特殊照顾。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3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仿宋_GB2312" w:eastAsia="仿宋_GB2312" w:hAnsi="宋体" w:cs="宋体" w:hint="eastAsia"/>
          <w:b/>
          <w:bCs/>
          <w:color w:val="2E2E2E"/>
          <w:kern w:val="0"/>
          <w:sz w:val="33"/>
          <w:szCs w:val="33"/>
        </w:rPr>
        <w:t>第四条</w:t>
      </w:r>
      <w:r w:rsidRPr="00E05982">
        <w:rPr>
          <w:rFonts w:ascii="仿宋_GB2312" w:eastAsia="仿宋_GB2312" w:hAnsi="宋体" w:cs="宋体" w:hint="eastAsia"/>
          <w:b/>
          <w:bCs/>
          <w:color w:val="2E2E2E"/>
          <w:kern w:val="0"/>
          <w:sz w:val="33"/>
          <w:szCs w:val="33"/>
        </w:rPr>
        <w:t>   </w:t>
      </w:r>
      <w:r w:rsidRPr="00E05982">
        <w:rPr>
          <w:rFonts w:ascii="仿宋_GB2312" w:eastAsia="仿宋_GB2312" w:hAnsi="宋体" w:cs="宋体" w:hint="eastAsia"/>
          <w:b/>
          <w:bCs/>
          <w:color w:val="2E2E2E"/>
          <w:kern w:val="0"/>
          <w:sz w:val="33"/>
          <w:szCs w:val="33"/>
        </w:rPr>
        <w:t>奖励招商引资中介人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。中介人直接引荐松原地区以外的投资者（企业、机构）前来松原市投资，经投资者确认，通过与我市项目承接单位建立联系，并最终促成双方签订投资合同。投资项目符合本政策所规定招商引资项目条件，待项目建成投产后，依照《松原市招商引资中介人奖励实施办法》予以奖励。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3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仿宋_GB2312" w:eastAsia="仿宋_GB2312" w:hAnsi="宋体" w:cs="宋体" w:hint="eastAsia"/>
          <w:b/>
          <w:bCs/>
          <w:color w:val="2E2E2E"/>
          <w:kern w:val="0"/>
          <w:sz w:val="33"/>
          <w:szCs w:val="33"/>
        </w:rPr>
        <w:t>第五条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  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各县（市、区）、开发区根据本政策，制定适合</w:t>
      </w:r>
      <w:r w:rsidRPr="00E05982">
        <w:rPr>
          <w:rFonts w:ascii="仿宋_GB2312" w:eastAsia="仿宋_GB2312" w:hAnsi="宋体" w:cs="宋体" w:hint="eastAsia"/>
          <w:color w:val="2E2E2E"/>
          <w:spacing w:val="-14"/>
          <w:kern w:val="0"/>
          <w:sz w:val="33"/>
          <w:szCs w:val="33"/>
        </w:rPr>
        <w:t>当地的招商引资政策，报市招商引资工作领导小组办公室备案执行。</w:t>
      </w:r>
    </w:p>
    <w:p w:rsidR="00E05982" w:rsidRPr="00E05982" w:rsidRDefault="00E05982" w:rsidP="00E05982">
      <w:pPr>
        <w:widowControl/>
        <w:spacing w:before="150" w:after="150" w:line="576" w:lineRule="atLeast"/>
        <w:ind w:firstLine="663"/>
        <w:jc w:val="left"/>
        <w:rPr>
          <w:rFonts w:ascii="宋体" w:eastAsia="宋体" w:hAnsi="宋体" w:cs="宋体"/>
          <w:color w:val="2E2E2E"/>
          <w:kern w:val="0"/>
          <w:sz w:val="24"/>
          <w:szCs w:val="24"/>
        </w:rPr>
      </w:pPr>
      <w:r w:rsidRPr="00E05982">
        <w:rPr>
          <w:rFonts w:ascii="仿宋_GB2312" w:eastAsia="仿宋_GB2312" w:hAnsi="宋体" w:cs="宋体" w:hint="eastAsia"/>
          <w:b/>
          <w:bCs/>
          <w:color w:val="2E2E2E"/>
          <w:kern w:val="0"/>
          <w:sz w:val="33"/>
          <w:szCs w:val="33"/>
        </w:rPr>
        <w:lastRenderedPageBreak/>
        <w:t>第六条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  </w:t>
      </w:r>
      <w:r w:rsidRPr="00E05982">
        <w:rPr>
          <w:rFonts w:ascii="仿宋_GB2312" w:eastAsia="仿宋_GB2312" w:hAnsi="宋体" w:cs="宋体" w:hint="eastAsia"/>
          <w:color w:val="2E2E2E"/>
          <w:kern w:val="0"/>
          <w:sz w:val="33"/>
          <w:szCs w:val="33"/>
        </w:rPr>
        <w:t>本政策所列各项奖励资金兑现情况，由各级财政和审计部门负责监督。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05982" w:rsidRPr="00E05982" w:rsidTr="00E05982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05982" w:rsidRPr="00E05982">
              <w:tc>
                <w:tcPr>
                  <w:tcW w:w="0" w:type="auto"/>
                  <w:vAlign w:val="center"/>
                  <w:hideMark/>
                </w:tcPr>
                <w:p w:rsidR="00E05982" w:rsidRPr="00E05982" w:rsidRDefault="00E05982" w:rsidP="00E05982">
                  <w:pPr>
                    <w:widowControl/>
                    <w:jc w:val="left"/>
                    <w:rPr>
                      <w:rFonts w:ascii="宋体" w:eastAsia="宋体" w:hAnsi="宋体" w:cs="宋体"/>
                      <w:color w:val="2E2E2E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E05982" w:rsidRPr="00E05982" w:rsidRDefault="00E05982" w:rsidP="00E05982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982" w:rsidRPr="00E05982" w:rsidTr="00E05982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5982" w:rsidRPr="00E05982" w:rsidRDefault="00E05982" w:rsidP="00E05982">
            <w:pPr>
              <w:widowControl/>
              <w:spacing w:line="30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0046B" w:rsidRPr="00E05982" w:rsidRDefault="00E0046B">
      <w:bookmarkStart w:id="0" w:name="_GoBack"/>
      <w:bookmarkEnd w:id="0"/>
    </w:p>
    <w:sectPr w:rsidR="00E0046B" w:rsidRPr="00E05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0B" w:rsidRDefault="00A7020B" w:rsidP="00E05982">
      <w:r>
        <w:separator/>
      </w:r>
    </w:p>
  </w:endnote>
  <w:endnote w:type="continuationSeparator" w:id="0">
    <w:p w:rsidR="00A7020B" w:rsidRDefault="00A7020B" w:rsidP="00E0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0B" w:rsidRDefault="00A7020B" w:rsidP="00E05982">
      <w:r>
        <w:separator/>
      </w:r>
    </w:p>
  </w:footnote>
  <w:footnote w:type="continuationSeparator" w:id="0">
    <w:p w:rsidR="00A7020B" w:rsidRDefault="00A7020B" w:rsidP="00E05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21"/>
    <w:rsid w:val="00A30721"/>
    <w:rsid w:val="00A7020B"/>
    <w:rsid w:val="00E0046B"/>
    <w:rsid w:val="00E0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4C1F36-CF42-47CB-B1D7-49600011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9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9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589">
          <w:marLeft w:val="0"/>
          <w:marRight w:val="0"/>
          <w:marTop w:val="210"/>
          <w:marBottom w:val="45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2039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indow.print(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2018-05-15T13:29:00Z</dcterms:created>
  <dcterms:modified xsi:type="dcterms:W3CDTF">2018-05-15T13:29:00Z</dcterms:modified>
</cp:coreProperties>
</file>