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BE250C" w:rsidRPr="00BE250C" w:rsidTr="00BE250C">
        <w:trPr>
          <w:trHeight w:val="600"/>
          <w:tblCellSpacing w:w="0" w:type="dxa"/>
          <w:jc w:val="center"/>
        </w:trPr>
        <w:tc>
          <w:tcPr>
            <w:tcW w:w="0" w:type="auto"/>
            <w:tcBorders>
              <w:top w:val="nil"/>
              <w:left w:val="nil"/>
              <w:bottom w:val="nil"/>
              <w:right w:val="nil"/>
            </w:tcBorders>
            <w:vAlign w:val="center"/>
            <w:hideMark/>
          </w:tcPr>
          <w:p w:rsidR="00BE250C" w:rsidRPr="00BE250C" w:rsidRDefault="00BE250C" w:rsidP="00BE250C">
            <w:pPr>
              <w:widowControl/>
              <w:jc w:val="center"/>
              <w:rPr>
                <w:rFonts w:ascii="inherit" w:eastAsia="宋体" w:hAnsi="inherit" w:cs="宋体"/>
                <w:color w:val="013F96"/>
                <w:kern w:val="0"/>
                <w:sz w:val="30"/>
                <w:szCs w:val="30"/>
              </w:rPr>
            </w:pPr>
            <w:r w:rsidRPr="00BE250C">
              <w:rPr>
                <w:rFonts w:ascii="inherit" w:eastAsia="宋体" w:hAnsi="inherit" w:cs="宋体"/>
                <w:color w:val="013F96"/>
                <w:kern w:val="0"/>
                <w:sz w:val="30"/>
                <w:szCs w:val="30"/>
              </w:rPr>
              <w:t>关于促进青岛市财富管理金融综合改革试验区发展的政策措施</w:t>
            </w:r>
          </w:p>
        </w:tc>
      </w:tr>
      <w:tr w:rsidR="00BE250C" w:rsidRPr="00BE250C" w:rsidTr="00BE250C">
        <w:trPr>
          <w:trHeight w:val="10"/>
          <w:tblCellSpacing w:w="0" w:type="dxa"/>
          <w:jc w:val="center"/>
        </w:trPr>
        <w:tc>
          <w:tcPr>
            <w:tcW w:w="0" w:type="auto"/>
            <w:tcBorders>
              <w:top w:val="nil"/>
              <w:left w:val="nil"/>
              <w:bottom w:val="nil"/>
              <w:right w:val="nil"/>
            </w:tcBorders>
            <w:vAlign w:val="center"/>
            <w:hideMark/>
          </w:tcPr>
          <w:p w:rsidR="00BE250C" w:rsidRPr="00BE250C" w:rsidRDefault="00BE250C" w:rsidP="00BE250C">
            <w:pPr>
              <w:widowControl/>
              <w:jc w:val="center"/>
              <w:rPr>
                <w:rFonts w:ascii="inherit" w:eastAsia="宋体" w:hAnsi="inherit" w:cs="宋体"/>
                <w:color w:val="013F96"/>
                <w:kern w:val="0"/>
                <w:sz w:val="30"/>
                <w:szCs w:val="30"/>
              </w:rPr>
            </w:pPr>
          </w:p>
        </w:tc>
      </w:tr>
      <w:tr w:rsidR="00BE250C" w:rsidRPr="00BE250C" w:rsidTr="00BE250C">
        <w:trPr>
          <w:trHeight w:val="300"/>
          <w:tblCellSpacing w:w="0" w:type="dxa"/>
          <w:jc w:val="center"/>
        </w:trPr>
        <w:tc>
          <w:tcPr>
            <w:tcW w:w="0" w:type="auto"/>
            <w:tcBorders>
              <w:top w:val="nil"/>
              <w:left w:val="nil"/>
              <w:bottom w:val="nil"/>
              <w:right w:val="nil"/>
            </w:tcBorders>
            <w:vAlign w:val="center"/>
            <w:hideMark/>
          </w:tcPr>
          <w:p w:rsidR="00BE250C" w:rsidRPr="00BE250C" w:rsidRDefault="00BE250C" w:rsidP="00BE250C">
            <w:pPr>
              <w:widowControl/>
              <w:jc w:val="center"/>
              <w:rPr>
                <w:rFonts w:ascii="inherit" w:eastAsia="宋体" w:hAnsi="inherit" w:cs="宋体"/>
                <w:color w:val="2C2C2C"/>
                <w:kern w:val="0"/>
                <w:szCs w:val="21"/>
              </w:rPr>
            </w:pPr>
            <w:r w:rsidRPr="00BE250C">
              <w:rPr>
                <w:rFonts w:ascii="inherit" w:eastAsia="宋体" w:hAnsi="inherit" w:cs="宋体"/>
                <w:color w:val="2C2C2C"/>
                <w:kern w:val="0"/>
                <w:szCs w:val="21"/>
              </w:rPr>
              <w:t>发布日期：</w:t>
            </w:r>
            <w:r w:rsidRPr="00BE250C">
              <w:rPr>
                <w:rFonts w:ascii="inherit" w:eastAsia="宋体" w:hAnsi="inherit" w:cs="宋体"/>
                <w:color w:val="2C2C2C"/>
                <w:kern w:val="0"/>
                <w:szCs w:val="21"/>
              </w:rPr>
              <w:t>2016-09-21</w:t>
            </w:r>
          </w:p>
        </w:tc>
      </w:tr>
      <w:tr w:rsidR="00BE250C" w:rsidRPr="00BE250C" w:rsidTr="00BE250C">
        <w:trPr>
          <w:trHeight w:val="150"/>
          <w:tblCellSpacing w:w="0" w:type="dxa"/>
          <w:jc w:val="center"/>
        </w:trPr>
        <w:tc>
          <w:tcPr>
            <w:tcW w:w="0" w:type="auto"/>
            <w:tcBorders>
              <w:top w:val="nil"/>
              <w:left w:val="nil"/>
              <w:bottom w:val="nil"/>
              <w:right w:val="nil"/>
            </w:tcBorders>
            <w:vAlign w:val="center"/>
            <w:hideMark/>
          </w:tcPr>
          <w:p w:rsidR="00BE250C" w:rsidRPr="00BE250C" w:rsidRDefault="00BE250C" w:rsidP="00BE250C">
            <w:pPr>
              <w:widowControl/>
              <w:jc w:val="center"/>
              <w:rPr>
                <w:rFonts w:ascii="inherit" w:eastAsia="宋体" w:hAnsi="inherit" w:cs="宋体"/>
                <w:color w:val="2C2C2C"/>
                <w:kern w:val="0"/>
                <w:szCs w:val="21"/>
              </w:rPr>
            </w:pPr>
          </w:p>
        </w:tc>
      </w:tr>
      <w:tr w:rsidR="00BE250C" w:rsidRPr="00BE250C" w:rsidTr="00BE250C">
        <w:trPr>
          <w:trHeight w:val="150"/>
          <w:tblCellSpacing w:w="0" w:type="dxa"/>
          <w:jc w:val="center"/>
        </w:trPr>
        <w:tc>
          <w:tcPr>
            <w:tcW w:w="0" w:type="auto"/>
            <w:tcBorders>
              <w:top w:val="nil"/>
              <w:left w:val="nil"/>
              <w:bottom w:val="nil"/>
              <w:right w:val="nil"/>
            </w:tcBorders>
            <w:hideMark/>
          </w:tcPr>
          <w:p w:rsidR="00BE250C" w:rsidRPr="00BE250C" w:rsidRDefault="00BE250C" w:rsidP="00BE250C">
            <w:pPr>
              <w:widowControl/>
              <w:spacing w:line="420" w:lineRule="atLeast"/>
              <w:jc w:val="center"/>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青政办发〔</w:t>
            </w:r>
            <w:r w:rsidRPr="00BE250C">
              <w:rPr>
                <w:rFonts w:ascii="inherit" w:eastAsia="宋体" w:hAnsi="inherit" w:cs="宋体"/>
                <w:color w:val="2C2C2C"/>
                <w:kern w:val="0"/>
                <w:sz w:val="24"/>
                <w:szCs w:val="24"/>
              </w:rPr>
              <w:t>2015</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24</w:t>
            </w:r>
            <w:r w:rsidRPr="00BE250C">
              <w:rPr>
                <w:rFonts w:ascii="inherit" w:eastAsia="宋体" w:hAnsi="inherit" w:cs="宋体"/>
                <w:color w:val="2C2C2C"/>
                <w:kern w:val="0"/>
                <w:sz w:val="24"/>
                <w:szCs w:val="24"/>
              </w:rPr>
              <w:t>号</w:t>
            </w:r>
          </w:p>
          <w:p w:rsidR="00BE250C" w:rsidRPr="00BE250C" w:rsidRDefault="00BE250C" w:rsidP="00BE250C">
            <w:pPr>
              <w:widowControl/>
              <w:spacing w:line="420" w:lineRule="atLeast"/>
              <w:jc w:val="center"/>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2015-11-06</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各区、市人民政府，市政府各部门，市直各单位：</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《关于促进青岛市财富管理金融综合改革试验区发展的政策措施》已经市政府同意，现印发给你们，请认真贯彻执行。</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青岛市人民政府办公厅</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2015</w:t>
            </w:r>
            <w:r w:rsidRPr="00BE250C">
              <w:rPr>
                <w:rFonts w:ascii="inherit" w:eastAsia="宋体" w:hAnsi="inherit" w:cs="宋体"/>
                <w:color w:val="2C2C2C"/>
                <w:kern w:val="0"/>
                <w:sz w:val="24"/>
                <w:szCs w:val="24"/>
              </w:rPr>
              <w:t>年</w:t>
            </w:r>
            <w:r w:rsidRPr="00BE250C">
              <w:rPr>
                <w:rFonts w:ascii="inherit" w:eastAsia="宋体" w:hAnsi="inherit" w:cs="宋体"/>
                <w:color w:val="2C2C2C"/>
                <w:kern w:val="0"/>
                <w:sz w:val="24"/>
                <w:szCs w:val="24"/>
              </w:rPr>
              <w:t>11</w:t>
            </w:r>
            <w:r w:rsidRPr="00BE250C">
              <w:rPr>
                <w:rFonts w:ascii="inherit" w:eastAsia="宋体" w:hAnsi="inherit" w:cs="宋体"/>
                <w:color w:val="2C2C2C"/>
                <w:kern w:val="0"/>
                <w:sz w:val="24"/>
                <w:szCs w:val="24"/>
              </w:rPr>
              <w:t>月</w:t>
            </w:r>
            <w:r w:rsidRPr="00BE250C">
              <w:rPr>
                <w:rFonts w:ascii="inherit" w:eastAsia="宋体" w:hAnsi="inherit" w:cs="宋体"/>
                <w:color w:val="2C2C2C"/>
                <w:kern w:val="0"/>
                <w:sz w:val="24"/>
                <w:szCs w:val="24"/>
              </w:rPr>
              <w:t>6</w:t>
            </w:r>
            <w:r w:rsidRPr="00BE250C">
              <w:rPr>
                <w:rFonts w:ascii="inherit" w:eastAsia="宋体" w:hAnsi="inherit" w:cs="宋体"/>
                <w:color w:val="2C2C2C"/>
                <w:kern w:val="0"/>
                <w:sz w:val="24"/>
                <w:szCs w:val="24"/>
              </w:rPr>
              <w:t>日</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为进一步促进我市金融业发展，加快建设面向国际的财富管理中心城市，根据《青岛市金融发展促进条例》《青岛市财富管理金融综合改革试验区总体方案》，制定以下政策措施。</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一、聚集金融资源</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（一）对在青岛市新设立和新迁入的法人金融机构，给予以下扶持：</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一次性补助。实缴注册资本</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亿元（含</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亿元，以下按此类推）以上的，一次性补助</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亿元；</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亿元以下、</w:t>
            </w:r>
            <w:r w:rsidRPr="00BE250C">
              <w:rPr>
                <w:rFonts w:ascii="inherit" w:eastAsia="宋体" w:hAnsi="inherit" w:cs="宋体"/>
                <w:color w:val="2C2C2C"/>
                <w:kern w:val="0"/>
                <w:sz w:val="24"/>
                <w:szCs w:val="24"/>
              </w:rPr>
              <w:t>40</w:t>
            </w:r>
            <w:r w:rsidRPr="00BE250C">
              <w:rPr>
                <w:rFonts w:ascii="inherit" w:eastAsia="宋体" w:hAnsi="inherit" w:cs="宋体"/>
                <w:color w:val="2C2C2C"/>
                <w:kern w:val="0"/>
                <w:sz w:val="24"/>
                <w:szCs w:val="24"/>
              </w:rPr>
              <w:t>亿元以上的，一次性补助</w:t>
            </w:r>
            <w:r w:rsidRPr="00BE250C">
              <w:rPr>
                <w:rFonts w:ascii="inherit" w:eastAsia="宋体" w:hAnsi="inherit" w:cs="宋体"/>
                <w:color w:val="2C2C2C"/>
                <w:kern w:val="0"/>
                <w:sz w:val="24"/>
                <w:szCs w:val="24"/>
              </w:rPr>
              <w:t>8000</w:t>
            </w:r>
            <w:r w:rsidRPr="00BE250C">
              <w:rPr>
                <w:rFonts w:ascii="inherit" w:eastAsia="宋体" w:hAnsi="inherit" w:cs="宋体"/>
                <w:color w:val="2C2C2C"/>
                <w:kern w:val="0"/>
                <w:sz w:val="24"/>
                <w:szCs w:val="24"/>
              </w:rPr>
              <w:t>万元；</w:t>
            </w:r>
            <w:r w:rsidRPr="00BE250C">
              <w:rPr>
                <w:rFonts w:ascii="inherit" w:eastAsia="宋体" w:hAnsi="inherit" w:cs="宋体"/>
                <w:color w:val="2C2C2C"/>
                <w:kern w:val="0"/>
                <w:sz w:val="24"/>
                <w:szCs w:val="24"/>
              </w:rPr>
              <w:t>40</w:t>
            </w:r>
            <w:r w:rsidRPr="00BE250C">
              <w:rPr>
                <w:rFonts w:ascii="inherit" w:eastAsia="宋体" w:hAnsi="inherit" w:cs="宋体"/>
                <w:color w:val="2C2C2C"/>
                <w:kern w:val="0"/>
                <w:sz w:val="24"/>
                <w:szCs w:val="24"/>
              </w:rPr>
              <w:t>亿元以下、</w:t>
            </w:r>
            <w:r w:rsidRPr="00BE250C">
              <w:rPr>
                <w:rFonts w:ascii="inherit" w:eastAsia="宋体" w:hAnsi="inherit" w:cs="宋体"/>
                <w:color w:val="2C2C2C"/>
                <w:kern w:val="0"/>
                <w:sz w:val="24"/>
                <w:szCs w:val="24"/>
              </w:rPr>
              <w:t>30</w:t>
            </w:r>
            <w:r w:rsidRPr="00BE250C">
              <w:rPr>
                <w:rFonts w:ascii="inherit" w:eastAsia="宋体" w:hAnsi="inherit" w:cs="宋体"/>
                <w:color w:val="2C2C2C"/>
                <w:kern w:val="0"/>
                <w:sz w:val="24"/>
                <w:szCs w:val="24"/>
              </w:rPr>
              <w:t>亿元以上的，一次性补助</w:t>
            </w:r>
            <w:r w:rsidRPr="00BE250C">
              <w:rPr>
                <w:rFonts w:ascii="inherit" w:eastAsia="宋体" w:hAnsi="inherit" w:cs="宋体"/>
                <w:color w:val="2C2C2C"/>
                <w:kern w:val="0"/>
                <w:sz w:val="24"/>
                <w:szCs w:val="24"/>
              </w:rPr>
              <w:t>6000</w:t>
            </w:r>
            <w:r w:rsidRPr="00BE250C">
              <w:rPr>
                <w:rFonts w:ascii="inherit" w:eastAsia="宋体" w:hAnsi="inherit" w:cs="宋体"/>
                <w:color w:val="2C2C2C"/>
                <w:kern w:val="0"/>
                <w:sz w:val="24"/>
                <w:szCs w:val="24"/>
              </w:rPr>
              <w:t>万元；</w:t>
            </w:r>
            <w:r w:rsidRPr="00BE250C">
              <w:rPr>
                <w:rFonts w:ascii="inherit" w:eastAsia="宋体" w:hAnsi="inherit" w:cs="宋体"/>
                <w:color w:val="2C2C2C"/>
                <w:kern w:val="0"/>
                <w:sz w:val="24"/>
                <w:szCs w:val="24"/>
              </w:rPr>
              <w:t>30</w:t>
            </w:r>
            <w:r w:rsidRPr="00BE250C">
              <w:rPr>
                <w:rFonts w:ascii="inherit" w:eastAsia="宋体" w:hAnsi="inherit" w:cs="宋体"/>
                <w:color w:val="2C2C2C"/>
                <w:kern w:val="0"/>
                <w:sz w:val="24"/>
                <w:szCs w:val="24"/>
              </w:rPr>
              <w:t>亿元以下、</w:t>
            </w:r>
            <w:r w:rsidRPr="00BE250C">
              <w:rPr>
                <w:rFonts w:ascii="inherit" w:eastAsia="宋体" w:hAnsi="inherit" w:cs="宋体"/>
                <w:color w:val="2C2C2C"/>
                <w:kern w:val="0"/>
                <w:sz w:val="24"/>
                <w:szCs w:val="24"/>
              </w:rPr>
              <w:t>20</w:t>
            </w:r>
            <w:r w:rsidRPr="00BE250C">
              <w:rPr>
                <w:rFonts w:ascii="inherit" w:eastAsia="宋体" w:hAnsi="inherit" w:cs="宋体"/>
                <w:color w:val="2C2C2C"/>
                <w:kern w:val="0"/>
                <w:sz w:val="24"/>
                <w:szCs w:val="24"/>
              </w:rPr>
              <w:t>亿元以上的，一次性补助</w:t>
            </w:r>
            <w:r w:rsidRPr="00BE250C">
              <w:rPr>
                <w:rFonts w:ascii="inherit" w:eastAsia="宋体" w:hAnsi="inherit" w:cs="宋体"/>
                <w:color w:val="2C2C2C"/>
                <w:kern w:val="0"/>
                <w:sz w:val="24"/>
                <w:szCs w:val="24"/>
              </w:rPr>
              <w:t>4000</w:t>
            </w:r>
            <w:r w:rsidRPr="00BE250C">
              <w:rPr>
                <w:rFonts w:ascii="inherit" w:eastAsia="宋体" w:hAnsi="inherit" w:cs="宋体"/>
                <w:color w:val="2C2C2C"/>
                <w:kern w:val="0"/>
                <w:sz w:val="24"/>
                <w:szCs w:val="24"/>
              </w:rPr>
              <w:t>万元；</w:t>
            </w:r>
            <w:r w:rsidRPr="00BE250C">
              <w:rPr>
                <w:rFonts w:ascii="inherit" w:eastAsia="宋体" w:hAnsi="inherit" w:cs="宋体"/>
                <w:color w:val="2C2C2C"/>
                <w:kern w:val="0"/>
                <w:sz w:val="24"/>
                <w:szCs w:val="24"/>
              </w:rPr>
              <w:t>20</w:t>
            </w:r>
            <w:r w:rsidRPr="00BE250C">
              <w:rPr>
                <w:rFonts w:ascii="inherit" w:eastAsia="宋体" w:hAnsi="inherit" w:cs="宋体"/>
                <w:color w:val="2C2C2C"/>
                <w:kern w:val="0"/>
                <w:sz w:val="24"/>
                <w:szCs w:val="24"/>
              </w:rPr>
              <w:t>亿元以下、</w:t>
            </w:r>
            <w:r w:rsidRPr="00BE250C">
              <w:rPr>
                <w:rFonts w:ascii="inherit" w:eastAsia="宋体" w:hAnsi="inherit" w:cs="宋体"/>
                <w:color w:val="2C2C2C"/>
                <w:kern w:val="0"/>
                <w:sz w:val="24"/>
                <w:szCs w:val="24"/>
              </w:rPr>
              <w:t>10</w:t>
            </w:r>
            <w:r w:rsidRPr="00BE250C">
              <w:rPr>
                <w:rFonts w:ascii="inherit" w:eastAsia="宋体" w:hAnsi="inherit" w:cs="宋体"/>
                <w:color w:val="2C2C2C"/>
                <w:kern w:val="0"/>
                <w:sz w:val="24"/>
                <w:szCs w:val="24"/>
              </w:rPr>
              <w:t>亿元以上的，一次性补助</w:t>
            </w:r>
            <w:r w:rsidRPr="00BE250C">
              <w:rPr>
                <w:rFonts w:ascii="inherit" w:eastAsia="宋体" w:hAnsi="inherit" w:cs="宋体"/>
                <w:color w:val="2C2C2C"/>
                <w:kern w:val="0"/>
                <w:sz w:val="24"/>
                <w:szCs w:val="24"/>
              </w:rPr>
              <w:t>2000</w:t>
            </w:r>
            <w:r w:rsidRPr="00BE250C">
              <w:rPr>
                <w:rFonts w:ascii="inherit" w:eastAsia="宋体" w:hAnsi="inherit" w:cs="宋体"/>
                <w:color w:val="2C2C2C"/>
                <w:kern w:val="0"/>
                <w:sz w:val="24"/>
                <w:szCs w:val="24"/>
              </w:rPr>
              <w:t>万元；</w:t>
            </w:r>
            <w:r w:rsidRPr="00BE250C">
              <w:rPr>
                <w:rFonts w:ascii="inherit" w:eastAsia="宋体" w:hAnsi="inherit" w:cs="宋体"/>
                <w:color w:val="2C2C2C"/>
                <w:kern w:val="0"/>
                <w:sz w:val="24"/>
                <w:szCs w:val="24"/>
              </w:rPr>
              <w:t>10</w:t>
            </w:r>
            <w:r w:rsidRPr="00BE250C">
              <w:rPr>
                <w:rFonts w:ascii="inherit" w:eastAsia="宋体" w:hAnsi="inherit" w:cs="宋体"/>
                <w:color w:val="2C2C2C"/>
                <w:kern w:val="0"/>
                <w:sz w:val="24"/>
                <w:szCs w:val="24"/>
              </w:rPr>
              <w:t>亿元以下的，按实缴注册资本的</w:t>
            </w:r>
            <w:r w:rsidRPr="00BE250C">
              <w:rPr>
                <w:rFonts w:ascii="inherit" w:eastAsia="宋体" w:hAnsi="inherit" w:cs="宋体"/>
                <w:color w:val="2C2C2C"/>
                <w:kern w:val="0"/>
                <w:sz w:val="24"/>
                <w:szCs w:val="24"/>
              </w:rPr>
              <w:t>2%</w:t>
            </w:r>
            <w:r w:rsidRPr="00BE250C">
              <w:rPr>
                <w:rFonts w:ascii="inherit" w:eastAsia="宋体" w:hAnsi="inherit" w:cs="宋体"/>
                <w:color w:val="2C2C2C"/>
                <w:kern w:val="0"/>
                <w:sz w:val="24"/>
                <w:szCs w:val="24"/>
              </w:rPr>
              <w:t>给予一次性补助。</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2.</w:t>
            </w:r>
            <w:r w:rsidRPr="00BE250C">
              <w:rPr>
                <w:rFonts w:ascii="inherit" w:eastAsia="宋体" w:hAnsi="inherit" w:cs="宋体"/>
                <w:color w:val="2C2C2C"/>
                <w:kern w:val="0"/>
                <w:sz w:val="24"/>
                <w:szCs w:val="24"/>
              </w:rPr>
              <w:t>经济贡献补助。自开业起</w:t>
            </w:r>
            <w:r w:rsidRPr="00BE250C">
              <w:rPr>
                <w:rFonts w:ascii="inherit" w:eastAsia="宋体" w:hAnsi="inherit" w:cs="宋体"/>
                <w:color w:val="2C2C2C"/>
                <w:kern w:val="0"/>
                <w:sz w:val="24"/>
                <w:szCs w:val="24"/>
              </w:rPr>
              <w:t>5</w:t>
            </w:r>
            <w:r w:rsidRPr="00BE250C">
              <w:rPr>
                <w:rFonts w:ascii="inherit" w:eastAsia="宋体" w:hAnsi="inherit" w:cs="宋体"/>
                <w:color w:val="2C2C2C"/>
                <w:kern w:val="0"/>
                <w:sz w:val="24"/>
                <w:szCs w:val="24"/>
              </w:rPr>
              <w:t>年内，视其对地方经济的贡献给予适当补助。</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办公场所补助。租赁自用办公及营业用房的，鼓励机构注册所在区（市）根据项目实际需求免费提供办公场所或给予补助；自建或购置自用办公及营业用房的，采取</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一事一议</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的方式给予政策支持。</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（二）青岛市现有法人金融机构增资的，按其新增资本扣除政府投资额后的</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，给予不超过</w:t>
            </w:r>
            <w:r w:rsidRPr="00BE250C">
              <w:rPr>
                <w:rFonts w:ascii="inherit" w:eastAsia="宋体" w:hAnsi="inherit" w:cs="宋体"/>
                <w:color w:val="2C2C2C"/>
                <w:kern w:val="0"/>
                <w:sz w:val="24"/>
                <w:szCs w:val="24"/>
              </w:rPr>
              <w:t>500</w:t>
            </w:r>
            <w:r w:rsidRPr="00BE250C">
              <w:rPr>
                <w:rFonts w:ascii="inherit" w:eastAsia="宋体" w:hAnsi="inherit" w:cs="宋体"/>
                <w:color w:val="2C2C2C"/>
                <w:kern w:val="0"/>
                <w:sz w:val="24"/>
                <w:szCs w:val="24"/>
              </w:rPr>
              <w:t>万元的一次性补助。</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（三）对新设立和新引进的区域性管辖金融机构并在青岛市汇总纳税的，业务管辖范围只覆盖山东省的，给予</w:t>
            </w:r>
            <w:r w:rsidRPr="00BE250C">
              <w:rPr>
                <w:rFonts w:ascii="inherit" w:eastAsia="宋体" w:hAnsi="inherit" w:cs="宋体"/>
                <w:color w:val="2C2C2C"/>
                <w:kern w:val="0"/>
                <w:sz w:val="24"/>
                <w:szCs w:val="24"/>
              </w:rPr>
              <w:t>100</w:t>
            </w:r>
            <w:r w:rsidRPr="00BE250C">
              <w:rPr>
                <w:rFonts w:ascii="inherit" w:eastAsia="宋体" w:hAnsi="inherit" w:cs="宋体"/>
                <w:color w:val="2C2C2C"/>
                <w:kern w:val="0"/>
                <w:sz w:val="24"/>
                <w:szCs w:val="24"/>
              </w:rPr>
              <w:t>万元的一次性补助；业务管辖范围包括山东省及其他省份的，给予</w:t>
            </w:r>
            <w:r w:rsidRPr="00BE250C">
              <w:rPr>
                <w:rFonts w:ascii="inherit" w:eastAsia="宋体" w:hAnsi="inherit" w:cs="宋体"/>
                <w:color w:val="2C2C2C"/>
                <w:kern w:val="0"/>
                <w:sz w:val="24"/>
                <w:szCs w:val="24"/>
              </w:rPr>
              <w:t>200</w:t>
            </w:r>
            <w:r w:rsidRPr="00BE250C">
              <w:rPr>
                <w:rFonts w:ascii="inherit" w:eastAsia="宋体" w:hAnsi="inherit" w:cs="宋体"/>
                <w:color w:val="2C2C2C"/>
                <w:kern w:val="0"/>
                <w:sz w:val="24"/>
                <w:szCs w:val="24"/>
              </w:rPr>
              <w:t>万元的一次性补助。</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四）经市政府批准，对体现财富管理特色的或对财富管理金融综合改革试验区建设有重大意义的机构和项目，参照本政策给予适当奖励。对新设和引进对我市经济金融发展具有重大促进作用的法人金融机构、金融市场机</w:t>
            </w:r>
            <w:r w:rsidRPr="00BE250C">
              <w:rPr>
                <w:rFonts w:ascii="inherit" w:eastAsia="宋体" w:hAnsi="inherit" w:cs="宋体"/>
                <w:color w:val="2C2C2C"/>
                <w:kern w:val="0"/>
                <w:sz w:val="24"/>
                <w:szCs w:val="24"/>
              </w:rPr>
              <w:lastRenderedPageBreak/>
              <w:t>构等特别重要的项目，可采取</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一事一议</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的方式给予支持，由市政府专题会议研究确定。</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（五）围绕全市经济社会发展中心工作，对驻青金融管理和监管机构确定工作重点目标和任务，每年根据工作量和绩效完成情况给予奖励。</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六）优化财富管理金融综合改革试验区发展环境。高标准建设试验区配套功能区，对功能区内用于金融产业发展的土地，由规划部门明确金融保险用地性质。优化重点项目建设审批流程，在开发、建设、注册等审批环节开辟</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绿色通道</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，最大限度压缩审批环节和时间，支持项目早落地、早建设、早投入使用。</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（七）聚集金融资源所需补助资金按照现行财政体制分别负担。</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二、鼓励金融创新</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（八）设立青岛市金融创新奖，包括以下</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个奖项：</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创新贡献奖。对在争取国家重大政策支持、改革完善金融体制机制、重要金融项目和金融资源引进等方面作出重大创新和突出贡献的予以奖励。一等奖评选</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个，奖励</w:t>
            </w:r>
            <w:r w:rsidRPr="00BE250C">
              <w:rPr>
                <w:rFonts w:ascii="inherit" w:eastAsia="宋体" w:hAnsi="inherit" w:cs="宋体"/>
                <w:color w:val="2C2C2C"/>
                <w:kern w:val="0"/>
                <w:sz w:val="24"/>
                <w:szCs w:val="24"/>
              </w:rPr>
              <w:t>300</w:t>
            </w:r>
            <w:r w:rsidRPr="00BE250C">
              <w:rPr>
                <w:rFonts w:ascii="inherit" w:eastAsia="宋体" w:hAnsi="inherit" w:cs="宋体"/>
                <w:color w:val="2C2C2C"/>
                <w:kern w:val="0"/>
                <w:sz w:val="24"/>
                <w:szCs w:val="24"/>
              </w:rPr>
              <w:t>万元；二等奖评选</w:t>
            </w:r>
            <w:r w:rsidRPr="00BE250C">
              <w:rPr>
                <w:rFonts w:ascii="inherit" w:eastAsia="宋体" w:hAnsi="inherit" w:cs="宋体"/>
                <w:color w:val="2C2C2C"/>
                <w:kern w:val="0"/>
                <w:sz w:val="24"/>
                <w:szCs w:val="24"/>
              </w:rPr>
              <w:t>2</w:t>
            </w:r>
            <w:r w:rsidRPr="00BE250C">
              <w:rPr>
                <w:rFonts w:ascii="inherit" w:eastAsia="宋体" w:hAnsi="inherit" w:cs="宋体"/>
                <w:color w:val="2C2C2C"/>
                <w:kern w:val="0"/>
                <w:sz w:val="24"/>
                <w:szCs w:val="24"/>
              </w:rPr>
              <w:t>个，各奖励</w:t>
            </w:r>
            <w:r w:rsidRPr="00BE250C">
              <w:rPr>
                <w:rFonts w:ascii="inherit" w:eastAsia="宋体" w:hAnsi="inherit" w:cs="宋体"/>
                <w:color w:val="2C2C2C"/>
                <w:kern w:val="0"/>
                <w:sz w:val="24"/>
                <w:szCs w:val="24"/>
              </w:rPr>
              <w:t>200</w:t>
            </w:r>
            <w:r w:rsidRPr="00BE250C">
              <w:rPr>
                <w:rFonts w:ascii="inherit" w:eastAsia="宋体" w:hAnsi="inherit" w:cs="宋体"/>
                <w:color w:val="2C2C2C"/>
                <w:kern w:val="0"/>
                <w:sz w:val="24"/>
                <w:szCs w:val="24"/>
              </w:rPr>
              <w:t>万元；三等奖评选</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个，各奖励</w:t>
            </w:r>
            <w:r w:rsidRPr="00BE250C">
              <w:rPr>
                <w:rFonts w:ascii="inherit" w:eastAsia="宋体" w:hAnsi="inherit" w:cs="宋体"/>
                <w:color w:val="2C2C2C"/>
                <w:kern w:val="0"/>
                <w:sz w:val="24"/>
                <w:szCs w:val="24"/>
              </w:rPr>
              <w:t>100</w:t>
            </w:r>
            <w:r w:rsidRPr="00BE250C">
              <w:rPr>
                <w:rFonts w:ascii="inherit" w:eastAsia="宋体" w:hAnsi="inherit" w:cs="宋体"/>
                <w:color w:val="2C2C2C"/>
                <w:kern w:val="0"/>
                <w:sz w:val="24"/>
                <w:szCs w:val="24"/>
              </w:rPr>
              <w:t>万元。</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2.</w:t>
            </w:r>
            <w:r w:rsidRPr="00BE250C">
              <w:rPr>
                <w:rFonts w:ascii="inherit" w:eastAsia="宋体" w:hAnsi="inherit" w:cs="宋体"/>
                <w:color w:val="2C2C2C"/>
                <w:kern w:val="0"/>
                <w:sz w:val="24"/>
                <w:szCs w:val="24"/>
              </w:rPr>
              <w:t>项目创新奖。对在支持实体经济、社会保障、重点经济功能区建设、小微企业、</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三农</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发展、拓宽融资渠道、财富管理建设和维护金融稳定等方面进行产品和服务创新的予以奖励。一等奖评选</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个，奖励</w:t>
            </w:r>
            <w:r w:rsidRPr="00BE250C">
              <w:rPr>
                <w:rFonts w:ascii="inherit" w:eastAsia="宋体" w:hAnsi="inherit" w:cs="宋体"/>
                <w:color w:val="2C2C2C"/>
                <w:kern w:val="0"/>
                <w:sz w:val="24"/>
                <w:szCs w:val="24"/>
              </w:rPr>
              <w:t>100</w:t>
            </w:r>
            <w:r w:rsidRPr="00BE250C">
              <w:rPr>
                <w:rFonts w:ascii="inherit" w:eastAsia="宋体" w:hAnsi="inherit" w:cs="宋体"/>
                <w:color w:val="2C2C2C"/>
                <w:kern w:val="0"/>
                <w:sz w:val="24"/>
                <w:szCs w:val="24"/>
              </w:rPr>
              <w:t>万元；二等奖评选</w:t>
            </w:r>
            <w:r w:rsidRPr="00BE250C">
              <w:rPr>
                <w:rFonts w:ascii="inherit" w:eastAsia="宋体" w:hAnsi="inherit" w:cs="宋体"/>
                <w:color w:val="2C2C2C"/>
                <w:kern w:val="0"/>
                <w:sz w:val="24"/>
                <w:szCs w:val="24"/>
              </w:rPr>
              <w:t>2</w:t>
            </w:r>
            <w:r w:rsidRPr="00BE250C">
              <w:rPr>
                <w:rFonts w:ascii="inherit" w:eastAsia="宋体" w:hAnsi="inherit" w:cs="宋体"/>
                <w:color w:val="2C2C2C"/>
                <w:kern w:val="0"/>
                <w:sz w:val="24"/>
                <w:szCs w:val="24"/>
              </w:rPr>
              <w:t>个，各奖励</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万元；三等奖评选</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个，各奖励</w:t>
            </w:r>
            <w:r w:rsidRPr="00BE250C">
              <w:rPr>
                <w:rFonts w:ascii="inherit" w:eastAsia="宋体" w:hAnsi="inherit" w:cs="宋体"/>
                <w:color w:val="2C2C2C"/>
                <w:kern w:val="0"/>
                <w:sz w:val="24"/>
                <w:szCs w:val="24"/>
              </w:rPr>
              <w:t>30</w:t>
            </w:r>
            <w:r w:rsidRPr="00BE250C">
              <w:rPr>
                <w:rFonts w:ascii="inherit" w:eastAsia="宋体" w:hAnsi="inherit" w:cs="宋体"/>
                <w:color w:val="2C2C2C"/>
                <w:kern w:val="0"/>
                <w:sz w:val="24"/>
                <w:szCs w:val="24"/>
              </w:rPr>
              <w:t>万元。</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研究创新奖。对在围绕青岛市金融业创新发展、财富管理中心建设等研究方面作出突出贡献的予以奖励。一等奖评选</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个，奖励</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万元；二等奖评选</w:t>
            </w:r>
            <w:r w:rsidRPr="00BE250C">
              <w:rPr>
                <w:rFonts w:ascii="inherit" w:eastAsia="宋体" w:hAnsi="inherit" w:cs="宋体"/>
                <w:color w:val="2C2C2C"/>
                <w:kern w:val="0"/>
                <w:sz w:val="24"/>
                <w:szCs w:val="24"/>
              </w:rPr>
              <w:t>2</w:t>
            </w:r>
            <w:r w:rsidRPr="00BE250C">
              <w:rPr>
                <w:rFonts w:ascii="inherit" w:eastAsia="宋体" w:hAnsi="inherit" w:cs="宋体"/>
                <w:color w:val="2C2C2C"/>
                <w:kern w:val="0"/>
                <w:sz w:val="24"/>
                <w:szCs w:val="24"/>
              </w:rPr>
              <w:t>个，各奖励</w:t>
            </w:r>
            <w:r w:rsidRPr="00BE250C">
              <w:rPr>
                <w:rFonts w:ascii="inherit" w:eastAsia="宋体" w:hAnsi="inherit" w:cs="宋体"/>
                <w:color w:val="2C2C2C"/>
                <w:kern w:val="0"/>
                <w:sz w:val="24"/>
                <w:szCs w:val="24"/>
              </w:rPr>
              <w:t>30</w:t>
            </w:r>
            <w:r w:rsidRPr="00BE250C">
              <w:rPr>
                <w:rFonts w:ascii="inherit" w:eastAsia="宋体" w:hAnsi="inherit" w:cs="宋体"/>
                <w:color w:val="2C2C2C"/>
                <w:kern w:val="0"/>
                <w:sz w:val="24"/>
                <w:szCs w:val="24"/>
              </w:rPr>
              <w:t>万元；三等奖评选</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个，各奖励</w:t>
            </w:r>
            <w:r w:rsidRPr="00BE250C">
              <w:rPr>
                <w:rFonts w:ascii="inherit" w:eastAsia="宋体" w:hAnsi="inherit" w:cs="宋体"/>
                <w:color w:val="2C2C2C"/>
                <w:kern w:val="0"/>
                <w:sz w:val="24"/>
                <w:szCs w:val="24"/>
              </w:rPr>
              <w:t>20</w:t>
            </w:r>
            <w:r w:rsidRPr="00BE250C">
              <w:rPr>
                <w:rFonts w:ascii="inherit" w:eastAsia="宋体" w:hAnsi="inherit" w:cs="宋体"/>
                <w:color w:val="2C2C2C"/>
                <w:kern w:val="0"/>
                <w:sz w:val="24"/>
                <w:szCs w:val="24"/>
              </w:rPr>
              <w:t>万元。</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九）青岛市金融创新奖由注册在青岛市的申报主体组织申报，不接受个人和外地机构申报。同一申报主体，可同时申报不同奖项的创新奖，奖励就高兑现，不重复享受。金融创新奖各奖项和奖级允许空缺，所需资金从市本级扶持金融业发展专项资金中安排。</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三、壮大资本市场</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（十）拟在国内主板、中小企业板、创业板上市的本市企业，其发生的券商、律师、会计师、资产评估、项目咨询等中介机构服务费用，按照总额的</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给予补助，最高不超过</w:t>
            </w:r>
            <w:r w:rsidRPr="00BE250C">
              <w:rPr>
                <w:rFonts w:ascii="inherit" w:eastAsia="宋体" w:hAnsi="inherit" w:cs="宋体"/>
                <w:color w:val="2C2C2C"/>
                <w:kern w:val="0"/>
                <w:sz w:val="24"/>
                <w:szCs w:val="24"/>
              </w:rPr>
              <w:t>300</w:t>
            </w:r>
            <w:r w:rsidRPr="00BE250C">
              <w:rPr>
                <w:rFonts w:ascii="inherit" w:eastAsia="宋体" w:hAnsi="inherit" w:cs="宋体"/>
                <w:color w:val="2C2C2C"/>
                <w:kern w:val="0"/>
                <w:sz w:val="24"/>
                <w:szCs w:val="24"/>
              </w:rPr>
              <w:t>万元。境外首发上市的企业，在募集资金到账后，按融资额（扣除发行费用）的</w:t>
            </w:r>
            <w:r w:rsidRPr="00BE250C">
              <w:rPr>
                <w:rFonts w:ascii="inherit" w:eastAsia="宋体" w:hAnsi="inherit" w:cs="宋体"/>
                <w:color w:val="2C2C2C"/>
                <w:kern w:val="0"/>
                <w:sz w:val="24"/>
                <w:szCs w:val="24"/>
              </w:rPr>
              <w:t>02%</w:t>
            </w:r>
            <w:r w:rsidRPr="00BE250C">
              <w:rPr>
                <w:rFonts w:ascii="inherit" w:eastAsia="宋体" w:hAnsi="inherit" w:cs="宋体"/>
                <w:color w:val="2C2C2C"/>
                <w:kern w:val="0"/>
                <w:sz w:val="24"/>
                <w:szCs w:val="24"/>
              </w:rPr>
              <w:t>给予补助，补助最高不超过</w:t>
            </w:r>
            <w:r w:rsidRPr="00BE250C">
              <w:rPr>
                <w:rFonts w:ascii="inherit" w:eastAsia="宋体" w:hAnsi="inherit" w:cs="宋体"/>
                <w:color w:val="2C2C2C"/>
                <w:kern w:val="0"/>
                <w:sz w:val="24"/>
                <w:szCs w:val="24"/>
              </w:rPr>
              <w:t>300</w:t>
            </w:r>
            <w:r w:rsidRPr="00BE250C">
              <w:rPr>
                <w:rFonts w:ascii="inherit" w:eastAsia="宋体" w:hAnsi="inherit" w:cs="宋体"/>
                <w:color w:val="2C2C2C"/>
                <w:kern w:val="0"/>
                <w:sz w:val="24"/>
                <w:szCs w:val="24"/>
              </w:rPr>
              <w:t>万元。对实现</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买壳</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上市，并将上市公司注册地迁至我市的企业，其发生的券</w:t>
            </w:r>
            <w:r w:rsidRPr="00BE250C">
              <w:rPr>
                <w:rFonts w:ascii="inherit" w:eastAsia="宋体" w:hAnsi="inherit" w:cs="宋体"/>
                <w:color w:val="2C2C2C"/>
                <w:kern w:val="0"/>
                <w:sz w:val="24"/>
                <w:szCs w:val="24"/>
              </w:rPr>
              <w:lastRenderedPageBreak/>
              <w:t>商、律师、会计师、资产评估、项目咨询等中介机构服务费用，按照总额的</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给予补助，最高不超过</w:t>
            </w:r>
            <w:r w:rsidRPr="00BE250C">
              <w:rPr>
                <w:rFonts w:ascii="inherit" w:eastAsia="宋体" w:hAnsi="inherit" w:cs="宋体"/>
                <w:color w:val="2C2C2C"/>
                <w:kern w:val="0"/>
                <w:sz w:val="24"/>
                <w:szCs w:val="24"/>
              </w:rPr>
              <w:t>300</w:t>
            </w:r>
            <w:r w:rsidRPr="00BE250C">
              <w:rPr>
                <w:rFonts w:ascii="inherit" w:eastAsia="宋体" w:hAnsi="inherit" w:cs="宋体"/>
                <w:color w:val="2C2C2C"/>
                <w:kern w:val="0"/>
                <w:sz w:val="24"/>
                <w:szCs w:val="24"/>
              </w:rPr>
              <w:t>万元。</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（十一）市级重点拟挂牌企业在全国中小企业股份转让系统挂牌后，按照不超过改制挂牌过程中实际发生的审计、评估、律师、验资、推荐等中介机构服务费用总额的</w:t>
            </w:r>
            <w:r w:rsidRPr="00BE250C">
              <w:rPr>
                <w:rFonts w:ascii="inherit" w:eastAsia="宋体" w:hAnsi="inherit" w:cs="宋体"/>
                <w:color w:val="2C2C2C"/>
                <w:kern w:val="0"/>
                <w:sz w:val="24"/>
                <w:szCs w:val="24"/>
              </w:rPr>
              <w:t>70%</w:t>
            </w:r>
            <w:r w:rsidRPr="00BE250C">
              <w:rPr>
                <w:rFonts w:ascii="inherit" w:eastAsia="宋体" w:hAnsi="inherit" w:cs="宋体"/>
                <w:color w:val="2C2C2C"/>
                <w:kern w:val="0"/>
                <w:sz w:val="24"/>
                <w:szCs w:val="24"/>
              </w:rPr>
              <w:t>给予补助，最高不超过</w:t>
            </w:r>
            <w:r w:rsidRPr="00BE250C">
              <w:rPr>
                <w:rFonts w:ascii="inherit" w:eastAsia="宋体" w:hAnsi="inherit" w:cs="宋体"/>
                <w:color w:val="2C2C2C"/>
                <w:kern w:val="0"/>
                <w:sz w:val="24"/>
                <w:szCs w:val="24"/>
              </w:rPr>
              <w:t>70</w:t>
            </w:r>
            <w:r w:rsidRPr="00BE250C">
              <w:rPr>
                <w:rFonts w:ascii="inherit" w:eastAsia="宋体" w:hAnsi="inherit" w:cs="宋体"/>
                <w:color w:val="2C2C2C"/>
                <w:kern w:val="0"/>
                <w:sz w:val="24"/>
                <w:szCs w:val="24"/>
              </w:rPr>
              <w:t>万元。企业在全国中小企业股份转让系统挂牌后实现直接股权融资的</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按照实际到位资金</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的比例给予一次性补助</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每家最高不超过</w:t>
            </w:r>
            <w:r w:rsidRPr="00BE250C">
              <w:rPr>
                <w:rFonts w:ascii="inherit" w:eastAsia="宋体" w:hAnsi="inherit" w:cs="宋体"/>
                <w:color w:val="2C2C2C"/>
                <w:kern w:val="0"/>
                <w:sz w:val="24"/>
                <w:szCs w:val="24"/>
              </w:rPr>
              <w:t>30</w:t>
            </w:r>
            <w:r w:rsidRPr="00BE250C">
              <w:rPr>
                <w:rFonts w:ascii="inherit" w:eastAsia="宋体" w:hAnsi="inherit" w:cs="宋体"/>
                <w:color w:val="2C2C2C"/>
                <w:kern w:val="0"/>
                <w:sz w:val="24"/>
                <w:szCs w:val="24"/>
              </w:rPr>
              <w:t>万元。</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（十二）在区域性股权交易市场挂牌的我市非上市股份公司、有限责任公司，其改制挂牌过程中发生的审计、评估、律师、验资、推荐等中介机构服务费用，按照不超过实际发生费用总额的</w:t>
            </w:r>
            <w:r w:rsidRPr="00BE250C">
              <w:rPr>
                <w:rFonts w:ascii="inherit" w:eastAsia="宋体" w:hAnsi="inherit" w:cs="宋体"/>
                <w:color w:val="2C2C2C"/>
                <w:kern w:val="0"/>
                <w:sz w:val="24"/>
                <w:szCs w:val="24"/>
              </w:rPr>
              <w:t>70%</w:t>
            </w:r>
            <w:r w:rsidRPr="00BE250C">
              <w:rPr>
                <w:rFonts w:ascii="inherit" w:eastAsia="宋体" w:hAnsi="inherit" w:cs="宋体"/>
                <w:color w:val="2C2C2C"/>
                <w:kern w:val="0"/>
                <w:sz w:val="24"/>
                <w:szCs w:val="24"/>
              </w:rPr>
              <w:t>给予补助，最高不超过</w:t>
            </w:r>
            <w:r w:rsidRPr="00BE250C">
              <w:rPr>
                <w:rFonts w:ascii="inherit" w:eastAsia="宋体" w:hAnsi="inherit" w:cs="宋体"/>
                <w:color w:val="2C2C2C"/>
                <w:kern w:val="0"/>
                <w:sz w:val="24"/>
                <w:szCs w:val="24"/>
              </w:rPr>
              <w:t>50</w:t>
            </w:r>
            <w:r w:rsidRPr="00BE250C">
              <w:rPr>
                <w:rFonts w:ascii="inherit" w:eastAsia="宋体" w:hAnsi="inherit" w:cs="宋体"/>
                <w:color w:val="2C2C2C"/>
                <w:kern w:val="0"/>
                <w:sz w:val="24"/>
                <w:szCs w:val="24"/>
              </w:rPr>
              <w:t>万元。</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（十三）采取基金园区、基金家园、资本大厦等形式</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加快基金业集聚发展。大力发展公益慈善基金</w:t>
            </w:r>
            <w:r w:rsidRPr="00BE250C">
              <w:rPr>
                <w:rFonts w:ascii="inherit" w:eastAsia="宋体" w:hAnsi="inherit" w:cs="宋体"/>
                <w:color w:val="2C2C2C"/>
                <w:kern w:val="0"/>
                <w:sz w:val="24"/>
                <w:szCs w:val="24"/>
              </w:rPr>
              <w:t>,</w:t>
            </w:r>
            <w:r w:rsidRPr="00BE250C">
              <w:rPr>
                <w:rFonts w:ascii="inherit" w:eastAsia="宋体" w:hAnsi="inherit" w:cs="宋体"/>
                <w:color w:val="2C2C2C"/>
                <w:kern w:val="0"/>
                <w:sz w:val="24"/>
                <w:szCs w:val="24"/>
              </w:rPr>
              <w:t>加强基金业与慈善公益事业融合发展。</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（十四）壮大资本市场所需补助资金按照现行财政体制分别负担。</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四、吸引金融人才</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（十五）支持金融机构、金融组织引进金融和财富管理高端人才。对新引进的金融和财富管理高端人才，按照有关规定给予安家补贴；有住房需求的，由机构注册地所在区（市）政府为其提供为期</w:t>
            </w:r>
            <w:r w:rsidRPr="00BE250C">
              <w:rPr>
                <w:rFonts w:ascii="inherit" w:eastAsia="宋体" w:hAnsi="inherit" w:cs="宋体"/>
                <w:color w:val="2C2C2C"/>
                <w:kern w:val="0"/>
                <w:sz w:val="24"/>
                <w:szCs w:val="24"/>
              </w:rPr>
              <w:t>3</w:t>
            </w:r>
            <w:r w:rsidRPr="00BE250C">
              <w:rPr>
                <w:rFonts w:ascii="inherit" w:eastAsia="宋体" w:hAnsi="inherit" w:cs="宋体"/>
                <w:color w:val="2C2C2C"/>
                <w:kern w:val="0"/>
                <w:sz w:val="24"/>
                <w:szCs w:val="24"/>
              </w:rPr>
              <w:t>年的免费人才公寓；在落户、配偶就业、子女教育、医疗保障、社会保障、办理出入境手续等方面提供便利。</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六）鼓励金融和财富管理高端人才在青岛市创新创业。由市人才工作领导小组定期遴选一批金融和财富管理高端人才，根据其经营业绩和对青岛市的贡献，给予补助，所需资金从市本级扶持金融业发展专项资金中安排。</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五、附则</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（十七）本政策与其他相关政策不重复享受，本政策实施细则另行制定。</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（十八）享受本政策的金融机构和市场机构，应承诺</w:t>
            </w:r>
            <w:r w:rsidRPr="00BE250C">
              <w:rPr>
                <w:rFonts w:ascii="inherit" w:eastAsia="宋体" w:hAnsi="inherit" w:cs="宋体"/>
                <w:color w:val="2C2C2C"/>
                <w:kern w:val="0"/>
                <w:sz w:val="24"/>
                <w:szCs w:val="24"/>
              </w:rPr>
              <w:t>10</w:t>
            </w:r>
            <w:r w:rsidRPr="00BE250C">
              <w:rPr>
                <w:rFonts w:ascii="inherit" w:eastAsia="宋体" w:hAnsi="inherit" w:cs="宋体"/>
                <w:color w:val="2C2C2C"/>
                <w:kern w:val="0"/>
                <w:sz w:val="24"/>
                <w:szCs w:val="24"/>
              </w:rPr>
              <w:t>年内企业持续开展经营且不迁离青岛市，确须迁离的，需全额退还享受的政策补助资金。对给青岛市金融生态环境造成重大不良影响的金融机构和市场机构，取消其享受本政策的资格。</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lastRenderedPageBreak/>
              <w:t xml:space="preserve">　　（十九）本政策自</w:t>
            </w:r>
            <w:r w:rsidRPr="00BE250C">
              <w:rPr>
                <w:rFonts w:ascii="inherit" w:eastAsia="宋体" w:hAnsi="inherit" w:cs="宋体"/>
                <w:color w:val="2C2C2C"/>
                <w:kern w:val="0"/>
                <w:sz w:val="24"/>
                <w:szCs w:val="24"/>
              </w:rPr>
              <w:t>2016</w:t>
            </w:r>
            <w:r w:rsidRPr="00BE250C">
              <w:rPr>
                <w:rFonts w:ascii="inherit" w:eastAsia="宋体" w:hAnsi="inherit" w:cs="宋体"/>
                <w:color w:val="2C2C2C"/>
                <w:kern w:val="0"/>
                <w:sz w:val="24"/>
                <w:szCs w:val="24"/>
              </w:rPr>
              <w:t>年</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月</w:t>
            </w:r>
            <w:r w:rsidRPr="00BE250C">
              <w:rPr>
                <w:rFonts w:ascii="inherit" w:eastAsia="宋体" w:hAnsi="inherit" w:cs="宋体"/>
                <w:color w:val="2C2C2C"/>
                <w:kern w:val="0"/>
                <w:sz w:val="24"/>
                <w:szCs w:val="24"/>
              </w:rPr>
              <w:t>1</w:t>
            </w:r>
            <w:r w:rsidRPr="00BE250C">
              <w:rPr>
                <w:rFonts w:ascii="inherit" w:eastAsia="宋体" w:hAnsi="inherit" w:cs="宋体"/>
                <w:color w:val="2C2C2C"/>
                <w:kern w:val="0"/>
                <w:sz w:val="24"/>
                <w:szCs w:val="24"/>
              </w:rPr>
              <w:t>日起执行，有效期至</w:t>
            </w:r>
            <w:r w:rsidRPr="00BE250C">
              <w:rPr>
                <w:rFonts w:ascii="inherit" w:eastAsia="宋体" w:hAnsi="inherit" w:cs="宋体"/>
                <w:color w:val="2C2C2C"/>
                <w:kern w:val="0"/>
                <w:sz w:val="24"/>
                <w:szCs w:val="24"/>
              </w:rPr>
              <w:t>2020</w:t>
            </w:r>
            <w:r w:rsidRPr="00BE250C">
              <w:rPr>
                <w:rFonts w:ascii="inherit" w:eastAsia="宋体" w:hAnsi="inherit" w:cs="宋体"/>
                <w:color w:val="2C2C2C"/>
                <w:kern w:val="0"/>
                <w:sz w:val="24"/>
                <w:szCs w:val="24"/>
              </w:rPr>
              <w:t>年</w:t>
            </w:r>
            <w:r w:rsidRPr="00BE250C">
              <w:rPr>
                <w:rFonts w:ascii="inherit" w:eastAsia="宋体" w:hAnsi="inherit" w:cs="宋体"/>
                <w:color w:val="2C2C2C"/>
                <w:kern w:val="0"/>
                <w:sz w:val="24"/>
                <w:szCs w:val="24"/>
              </w:rPr>
              <w:t>12</w:t>
            </w:r>
            <w:r w:rsidRPr="00BE250C">
              <w:rPr>
                <w:rFonts w:ascii="inherit" w:eastAsia="宋体" w:hAnsi="inherit" w:cs="宋体"/>
                <w:color w:val="2C2C2C"/>
                <w:kern w:val="0"/>
                <w:sz w:val="24"/>
                <w:szCs w:val="24"/>
              </w:rPr>
              <w:t>月</w:t>
            </w:r>
            <w:r w:rsidRPr="00BE250C">
              <w:rPr>
                <w:rFonts w:ascii="inherit" w:eastAsia="宋体" w:hAnsi="inherit" w:cs="宋体"/>
                <w:color w:val="2C2C2C"/>
                <w:kern w:val="0"/>
                <w:sz w:val="24"/>
                <w:szCs w:val="24"/>
              </w:rPr>
              <w:t>31</w:t>
            </w:r>
            <w:r w:rsidRPr="00BE250C">
              <w:rPr>
                <w:rFonts w:ascii="inherit" w:eastAsia="宋体" w:hAnsi="inherit" w:cs="宋体"/>
                <w:color w:val="2C2C2C"/>
                <w:kern w:val="0"/>
                <w:sz w:val="24"/>
                <w:szCs w:val="24"/>
              </w:rPr>
              <w:t>日。所涉及政策内容与以往不一致的，以本政策为准。本政策执行期间，如遇国家政策调整，按国家政策执行。</w:t>
            </w:r>
          </w:p>
          <w:p w:rsidR="00BE250C" w:rsidRPr="00BE250C" w:rsidRDefault="00BE250C" w:rsidP="00BE250C">
            <w:pPr>
              <w:widowControl/>
              <w:spacing w:line="420" w:lineRule="atLeast"/>
              <w:jc w:val="left"/>
              <w:rPr>
                <w:rFonts w:ascii="inherit" w:eastAsia="宋体" w:hAnsi="inherit" w:cs="宋体"/>
                <w:color w:val="2C2C2C"/>
                <w:kern w:val="0"/>
                <w:sz w:val="24"/>
                <w:szCs w:val="24"/>
              </w:rPr>
            </w:pPr>
            <w:r w:rsidRPr="00BE250C">
              <w:rPr>
                <w:rFonts w:ascii="inherit" w:eastAsia="宋体" w:hAnsi="inherit" w:cs="宋体"/>
                <w:color w:val="2C2C2C"/>
                <w:kern w:val="0"/>
                <w:sz w:val="24"/>
                <w:szCs w:val="24"/>
              </w:rPr>
              <w:t xml:space="preserve">　　（二十）本政策由市金融工作办会同市财政局、市人才工作领导小组办公室负责解释和实施。</w:t>
            </w:r>
          </w:p>
        </w:tc>
      </w:tr>
    </w:tbl>
    <w:p w:rsidR="0005687E" w:rsidRDefault="00BE250C">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0C"/>
    <w:rsid w:val="001B6451"/>
    <w:rsid w:val="00BE250C"/>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7DD4E-B096-4F1E-8B49-086494D1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2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92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2018-05-04T08:12:00Z</dcterms:created>
  <dcterms:modified xsi:type="dcterms:W3CDTF">2018-05-04T08:12:00Z</dcterms:modified>
</cp:coreProperties>
</file>