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2BF" w:rsidRDefault="007B556E">
      <w:pPr>
        <w:snapToGrid w:val="0"/>
        <w:jc w:val="center"/>
        <w:rPr>
          <w:rFonts w:ascii="方正小标宋简体" w:eastAsia="方正小标宋简体" w:hAnsi="方正小标宋简体" w:cs="方正小标宋简体"/>
          <w:sz w:val="44"/>
          <w:szCs w:val="44"/>
          <w:lang w:eastAsia="zh-CN"/>
        </w:rPr>
      </w:pPr>
      <w:bookmarkStart w:id="0" w:name="biaoti"/>
      <w:r>
        <w:rPr>
          <w:rFonts w:ascii="方正小标宋简体" w:eastAsia="方正小标宋简体" w:hAnsi="方正小标宋简体" w:cs="方正小标宋简体" w:hint="eastAsia"/>
          <w:sz w:val="44"/>
          <w:szCs w:val="44"/>
          <w:lang w:eastAsia="zh-CN"/>
        </w:rPr>
        <w:t>漳州招商局经济技术开发区装配式</w:t>
      </w:r>
    </w:p>
    <w:p w:rsidR="00E462BF" w:rsidRDefault="007B556E">
      <w:pPr>
        <w:snapToGrid w:val="0"/>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建筑项目专项扶持办法</w:t>
      </w:r>
      <w:bookmarkEnd w:id="0"/>
    </w:p>
    <w:p w:rsidR="00E462BF" w:rsidRDefault="00E462BF">
      <w:pPr>
        <w:tabs>
          <w:tab w:val="left" w:pos="2160"/>
          <w:tab w:val="left" w:pos="2925"/>
        </w:tabs>
        <w:spacing w:line="360" w:lineRule="auto"/>
        <w:ind w:firstLineChars="200" w:firstLine="640"/>
        <w:jc w:val="both"/>
        <w:rPr>
          <w:rFonts w:ascii="仿宋_GB2312" w:eastAsia="仿宋_GB2312" w:hAnsi="仿宋_GB2312" w:cs="仿宋_GB2312"/>
          <w:lang w:eastAsia="zh-CN"/>
        </w:rPr>
      </w:pPr>
      <w:bookmarkStart w:id="1" w:name="zhengwen"/>
      <w:bookmarkEnd w:id="1"/>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为响应《国务院办公厅关于大力发展装配式建筑的指导意见》、《福建省装配式建筑“十三五”专</w:t>
      </w:r>
      <w:bookmarkStart w:id="2" w:name="_GoBack"/>
      <w:bookmarkEnd w:id="2"/>
      <w:r>
        <w:rPr>
          <w:rFonts w:ascii="仿宋_GB2312" w:eastAsia="仿宋_GB2312" w:hAnsi="仿宋_GB2312" w:cs="仿宋_GB2312" w:hint="eastAsia"/>
          <w:lang w:eastAsia="zh-CN"/>
        </w:rPr>
        <w:t>项规划》等相关文件要求，促进装配式建筑在我区的发展，依据《福建省人民政府关于建筑产业现代化试点的指导意见》和《福建省工业化建筑认定管理（试行）办法》制定本扶持办法。</w:t>
      </w:r>
    </w:p>
    <w:p w:rsidR="00E462BF" w:rsidRDefault="007B556E">
      <w:pPr>
        <w:tabs>
          <w:tab w:val="left" w:pos="2160"/>
          <w:tab w:val="left" w:pos="2925"/>
        </w:tabs>
        <w:spacing w:line="600" w:lineRule="exact"/>
        <w:ind w:firstLineChars="200" w:firstLine="640"/>
        <w:jc w:val="both"/>
        <w:rPr>
          <w:rFonts w:ascii="黑体" w:eastAsia="黑体" w:hAnsi="黑体" w:cs="黑体"/>
          <w:lang w:eastAsia="zh-CN"/>
        </w:rPr>
      </w:pPr>
      <w:r>
        <w:rPr>
          <w:rFonts w:ascii="黑体" w:eastAsia="黑体" w:hAnsi="黑体" w:cs="黑体" w:hint="eastAsia"/>
          <w:lang w:eastAsia="zh-CN"/>
        </w:rPr>
        <w:t>一、资金来源</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资金由管委会财政拨付，经管委会批准，专项用于支持装配式建筑、</w:t>
      </w:r>
      <w:r>
        <w:rPr>
          <w:rFonts w:ascii="仿宋_GB2312" w:eastAsia="仿宋_GB2312" w:hAnsi="仿宋_GB2312" w:cs="仿宋_GB2312" w:hint="eastAsia"/>
          <w:lang w:eastAsia="zh-CN"/>
        </w:rPr>
        <w:t>BIM</w:t>
      </w:r>
      <w:r>
        <w:rPr>
          <w:rFonts w:ascii="仿宋_GB2312" w:eastAsia="仿宋_GB2312" w:hAnsi="仿宋_GB2312" w:cs="仿宋_GB2312" w:hint="eastAsia"/>
          <w:lang w:eastAsia="zh-CN"/>
        </w:rPr>
        <w:t>等新型建筑技术的推广应用。</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资金的使用和管理坚持“公开、公平、公正”的原则，实行“专业评审、社会公示、政府决策”的管理模式。</w:t>
      </w:r>
    </w:p>
    <w:p w:rsidR="00E462BF" w:rsidRDefault="007B556E">
      <w:pPr>
        <w:tabs>
          <w:tab w:val="left" w:pos="2160"/>
          <w:tab w:val="left" w:pos="2925"/>
        </w:tabs>
        <w:spacing w:line="600" w:lineRule="exact"/>
        <w:ind w:firstLineChars="200" w:firstLine="640"/>
        <w:jc w:val="both"/>
        <w:rPr>
          <w:rFonts w:ascii="黑体" w:eastAsia="黑体" w:hAnsi="黑体" w:cs="黑体"/>
          <w:lang w:eastAsia="zh-CN"/>
        </w:rPr>
      </w:pPr>
      <w:r>
        <w:rPr>
          <w:rFonts w:ascii="黑体" w:eastAsia="黑体" w:hAnsi="黑体" w:cs="黑体" w:hint="eastAsia"/>
          <w:lang w:eastAsia="zh-CN"/>
        </w:rPr>
        <w:t>二、支持原则</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资金使用与管理应当遵循以下原则：</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（一）有利于培育开发区装配式建筑示范项目；</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（二）有利于提高开发区装配式建筑的发展；</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（三）有利于调动装配式建筑参与各方的积极性；</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（四）有利于完善开发区装配式建筑管理体系。</w:t>
      </w:r>
    </w:p>
    <w:p w:rsidR="00E462BF" w:rsidRDefault="007B556E">
      <w:pPr>
        <w:tabs>
          <w:tab w:val="left" w:pos="2160"/>
          <w:tab w:val="left" w:pos="2925"/>
        </w:tabs>
        <w:spacing w:line="600" w:lineRule="exact"/>
        <w:ind w:firstLineChars="200" w:firstLine="640"/>
        <w:jc w:val="both"/>
        <w:rPr>
          <w:rFonts w:ascii="黑体" w:eastAsia="黑体" w:hAnsi="黑体" w:cs="黑体"/>
          <w:lang w:eastAsia="zh-CN"/>
        </w:rPr>
      </w:pPr>
      <w:r>
        <w:rPr>
          <w:rFonts w:ascii="黑体" w:eastAsia="黑体" w:hAnsi="黑体" w:cs="黑体" w:hint="eastAsia"/>
          <w:lang w:eastAsia="zh-CN"/>
        </w:rPr>
        <w:t>三、支持范围和资助标准</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（一）装配式项目支持范围</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2017</w:t>
      </w:r>
      <w:r>
        <w:rPr>
          <w:rFonts w:ascii="仿宋_GB2312" w:eastAsia="仿宋_GB2312" w:hAnsi="仿宋_GB2312" w:cs="仿宋_GB2312" w:hint="eastAsia"/>
          <w:lang w:eastAsia="zh-CN"/>
        </w:rPr>
        <w:t>年</w:t>
      </w:r>
      <w:r>
        <w:rPr>
          <w:rFonts w:ascii="仿宋_GB2312" w:eastAsia="仿宋_GB2312" w:hAnsi="仿宋_GB2312" w:cs="仿宋_GB2312" w:hint="eastAsia"/>
          <w:lang w:eastAsia="zh-CN"/>
        </w:rPr>
        <w:t>1</w:t>
      </w:r>
      <w:r>
        <w:rPr>
          <w:rFonts w:ascii="仿宋_GB2312" w:eastAsia="仿宋_GB2312" w:hAnsi="仿宋_GB2312" w:cs="仿宋_GB2312" w:hint="eastAsia"/>
          <w:lang w:eastAsia="zh-CN"/>
        </w:rPr>
        <w:t>月</w:t>
      </w:r>
      <w:r>
        <w:rPr>
          <w:rFonts w:ascii="仿宋_GB2312" w:eastAsia="仿宋_GB2312" w:hAnsi="仿宋_GB2312" w:cs="仿宋_GB2312" w:hint="eastAsia"/>
          <w:lang w:eastAsia="zh-CN"/>
        </w:rPr>
        <w:t>1</w:t>
      </w:r>
      <w:r>
        <w:rPr>
          <w:rFonts w:ascii="仿宋_GB2312" w:eastAsia="仿宋_GB2312" w:hAnsi="仿宋_GB2312" w:cs="仿宋_GB2312" w:hint="eastAsia"/>
          <w:lang w:eastAsia="zh-CN"/>
        </w:rPr>
        <w:t>日后取得工程规划许可的建筑工程项目，</w:t>
      </w:r>
      <w:r>
        <w:rPr>
          <w:rFonts w:ascii="仿宋_GB2312" w:eastAsia="仿宋_GB2312" w:hAnsi="仿宋_GB2312" w:cs="仿宋_GB2312" w:hint="eastAsia"/>
          <w:lang w:eastAsia="zh-CN"/>
        </w:rPr>
        <w:lastRenderedPageBreak/>
        <w:t>居住建筑装配式建筑面积</w:t>
      </w:r>
      <w:r>
        <w:rPr>
          <w:rFonts w:ascii="仿宋_GB2312" w:eastAsia="仿宋_GB2312" w:hAnsi="仿宋_GB2312" w:cs="仿宋_GB2312" w:hint="eastAsia"/>
          <w:lang w:eastAsia="zh-CN"/>
        </w:rPr>
        <w:t>2</w:t>
      </w:r>
      <w:r>
        <w:rPr>
          <w:rFonts w:ascii="仿宋_GB2312" w:eastAsia="仿宋_GB2312" w:hAnsi="仿宋_GB2312" w:cs="仿宋_GB2312" w:hint="eastAsia"/>
          <w:lang w:eastAsia="zh-CN"/>
        </w:rPr>
        <w:t>万平方米以上，公共建筑装配式建筑面积</w:t>
      </w:r>
      <w:r>
        <w:rPr>
          <w:rFonts w:ascii="仿宋_GB2312" w:eastAsia="仿宋_GB2312" w:hAnsi="仿宋_GB2312" w:cs="仿宋_GB2312" w:hint="eastAsia"/>
          <w:lang w:eastAsia="zh-CN"/>
        </w:rPr>
        <w:t>1</w:t>
      </w:r>
      <w:r>
        <w:rPr>
          <w:rFonts w:ascii="仿宋_GB2312" w:eastAsia="仿宋_GB2312" w:hAnsi="仿宋_GB2312" w:cs="仿宋_GB2312" w:hint="eastAsia"/>
          <w:lang w:eastAsia="zh-CN"/>
        </w:rPr>
        <w:t>万平方米以上。</w:t>
      </w:r>
      <w:r>
        <w:rPr>
          <w:rFonts w:ascii="仿宋_GB2312" w:eastAsia="仿宋_GB2312" w:hAnsi="仿宋_GB2312" w:cs="仿宋_GB2312" w:hint="eastAsia"/>
          <w:lang w:eastAsia="zh-CN"/>
        </w:rPr>
        <w:t>预制装</w:t>
      </w:r>
      <w:r>
        <w:rPr>
          <w:rFonts w:ascii="仿宋_GB2312" w:eastAsia="仿宋_GB2312" w:hAnsi="仿宋_GB2312" w:cs="仿宋_GB2312" w:hint="eastAsia"/>
          <w:lang w:eastAsia="zh-CN"/>
        </w:rPr>
        <w:t>配式混凝土结构单体预制率不低于</w:t>
      </w:r>
      <w:r>
        <w:rPr>
          <w:rFonts w:ascii="仿宋_GB2312" w:eastAsia="仿宋_GB2312" w:hAnsi="仿宋_GB2312" w:cs="仿宋_GB2312" w:hint="eastAsia"/>
          <w:lang w:eastAsia="zh-CN"/>
        </w:rPr>
        <w:t>15%</w:t>
      </w:r>
      <w:r>
        <w:rPr>
          <w:rFonts w:ascii="仿宋_GB2312" w:eastAsia="仿宋_GB2312" w:hAnsi="仿宋_GB2312" w:cs="仿宋_GB2312" w:hint="eastAsia"/>
          <w:lang w:eastAsia="zh-CN"/>
        </w:rPr>
        <w:t>；钢结构单体建筑预制率不低于</w:t>
      </w:r>
      <w:r>
        <w:rPr>
          <w:rFonts w:ascii="仿宋_GB2312" w:eastAsia="仿宋_GB2312" w:hAnsi="仿宋_GB2312" w:cs="仿宋_GB2312" w:hint="eastAsia"/>
          <w:lang w:eastAsia="zh-CN"/>
        </w:rPr>
        <w:t>50%</w:t>
      </w:r>
      <w:r>
        <w:rPr>
          <w:rFonts w:ascii="仿宋_GB2312" w:eastAsia="仿宋_GB2312" w:hAnsi="仿宋_GB2312" w:cs="仿宋_GB2312" w:hint="eastAsia"/>
          <w:lang w:eastAsia="zh-CN"/>
        </w:rPr>
        <w:t>，实行建筑、结构、机电设备一体化及</w:t>
      </w:r>
      <w:r>
        <w:rPr>
          <w:rFonts w:ascii="仿宋_GB2312" w:eastAsia="仿宋_GB2312" w:hAnsi="仿宋_GB2312" w:cs="仿宋_GB2312" w:hint="eastAsia"/>
          <w:lang w:eastAsia="zh-CN"/>
        </w:rPr>
        <w:t>BIM</w:t>
      </w:r>
      <w:r>
        <w:rPr>
          <w:rFonts w:ascii="仿宋_GB2312" w:eastAsia="仿宋_GB2312" w:hAnsi="仿宋_GB2312" w:cs="仿宋_GB2312" w:hint="eastAsia"/>
          <w:lang w:eastAsia="zh-CN"/>
        </w:rPr>
        <w:t>技术设计，且通过装配式建筑认定。</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（二）资助方式和标准</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1.</w:t>
      </w:r>
      <w:r>
        <w:rPr>
          <w:rFonts w:ascii="仿宋_GB2312" w:eastAsia="仿宋_GB2312" w:hAnsi="仿宋_GB2312" w:cs="仿宋_GB2312" w:hint="eastAsia"/>
          <w:lang w:eastAsia="zh-CN"/>
        </w:rPr>
        <w:t>实施奖励</w:t>
      </w:r>
    </w:p>
    <w:p w:rsidR="00E462BF" w:rsidRDefault="007B556E">
      <w:pPr>
        <w:tabs>
          <w:tab w:val="left" w:pos="2160"/>
          <w:tab w:val="left" w:pos="2925"/>
        </w:tabs>
        <w:spacing w:line="600" w:lineRule="exact"/>
        <w:ind w:firstLineChars="200" w:firstLine="640"/>
        <w:jc w:val="both"/>
      </w:pPr>
      <w:r>
        <w:rPr>
          <w:rFonts w:ascii="仿宋_GB2312" w:eastAsia="仿宋_GB2312" w:hAnsi="仿宋_GB2312" w:cs="仿宋_GB2312" w:hint="eastAsia"/>
          <w:lang w:eastAsia="zh-CN"/>
        </w:rPr>
        <w:t>（</w:t>
      </w:r>
      <w:r>
        <w:rPr>
          <w:rFonts w:ascii="仿宋_GB2312" w:eastAsia="仿宋_GB2312" w:hAnsi="仿宋_GB2312" w:cs="仿宋_GB2312" w:hint="eastAsia"/>
          <w:lang w:eastAsia="zh-CN"/>
        </w:rPr>
        <w:t>1</w:t>
      </w:r>
      <w:r>
        <w:rPr>
          <w:rFonts w:ascii="仿宋_GB2312" w:eastAsia="仿宋_GB2312" w:hAnsi="仿宋_GB2312" w:cs="仿宋_GB2312" w:hint="eastAsia"/>
          <w:lang w:eastAsia="zh-CN"/>
        </w:rPr>
        <w:t>）实施工业化建筑试点的政府性投资项目，工程预算造价严格按照《福建省装配式建筑工程预算定额》（</w:t>
      </w:r>
      <w:r>
        <w:rPr>
          <w:rFonts w:ascii="仿宋_GB2312" w:eastAsia="仿宋_GB2312" w:hAnsi="仿宋_GB2312" w:cs="仿宋_GB2312" w:hint="eastAsia"/>
          <w:lang w:eastAsia="zh-CN"/>
        </w:rPr>
        <w:t>FJYD-103-2017</w:t>
      </w:r>
      <w:r>
        <w:rPr>
          <w:rFonts w:ascii="仿宋_GB2312" w:eastAsia="仿宋_GB2312" w:hAnsi="仿宋_GB2312" w:cs="仿宋_GB2312" w:hint="eastAsia"/>
          <w:lang w:eastAsia="zh-CN"/>
        </w:rPr>
        <w:t>）确定；</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w:t>
      </w:r>
      <w:r>
        <w:rPr>
          <w:rFonts w:ascii="仿宋_GB2312" w:eastAsia="仿宋_GB2312" w:hAnsi="仿宋_GB2312" w:cs="仿宋_GB2312" w:hint="eastAsia"/>
          <w:lang w:eastAsia="zh-CN"/>
        </w:rPr>
        <w:t>2</w:t>
      </w:r>
      <w:r>
        <w:rPr>
          <w:rFonts w:ascii="仿宋_GB2312" w:eastAsia="仿宋_GB2312" w:hAnsi="仿宋_GB2312" w:cs="仿宋_GB2312" w:hint="eastAsia"/>
          <w:lang w:eastAsia="zh-CN"/>
        </w:rPr>
        <w:t>）装配式建筑面积（扣除所奖励的面积）每平方米补贴</w:t>
      </w:r>
      <w:r>
        <w:rPr>
          <w:rFonts w:ascii="仿宋_GB2312" w:eastAsia="仿宋_GB2312" w:hAnsi="仿宋_GB2312" w:cs="仿宋_GB2312" w:hint="eastAsia"/>
          <w:lang w:eastAsia="zh-CN"/>
        </w:rPr>
        <w:t>100</w:t>
      </w:r>
      <w:r>
        <w:rPr>
          <w:rFonts w:ascii="仿宋_GB2312" w:eastAsia="仿宋_GB2312" w:hAnsi="仿宋_GB2312" w:cs="仿宋_GB2312" w:hint="eastAsia"/>
          <w:lang w:eastAsia="zh-CN"/>
        </w:rPr>
        <w:t>元，单项资助额最高不超过</w:t>
      </w:r>
      <w:r>
        <w:rPr>
          <w:rFonts w:ascii="仿宋_GB2312" w:eastAsia="仿宋_GB2312" w:hAnsi="仿宋_GB2312" w:cs="仿宋_GB2312" w:hint="eastAsia"/>
          <w:lang w:eastAsia="zh-CN"/>
        </w:rPr>
        <w:t>500</w:t>
      </w:r>
      <w:r>
        <w:rPr>
          <w:rFonts w:ascii="仿宋_GB2312" w:eastAsia="仿宋_GB2312" w:hAnsi="仿宋_GB2312" w:cs="仿宋_GB2312" w:hint="eastAsia"/>
          <w:lang w:eastAsia="zh-CN"/>
        </w:rPr>
        <w:t>万元；</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w:t>
      </w:r>
      <w:r>
        <w:rPr>
          <w:rFonts w:ascii="仿宋_GB2312" w:eastAsia="仿宋_GB2312" w:hAnsi="仿宋_GB2312" w:cs="仿宋_GB2312" w:hint="eastAsia"/>
          <w:lang w:eastAsia="zh-CN"/>
        </w:rPr>
        <w:t>3</w:t>
      </w:r>
      <w:r>
        <w:rPr>
          <w:rFonts w:ascii="仿宋_GB2312" w:eastAsia="仿宋_GB2312" w:hAnsi="仿宋_GB2312" w:cs="仿宋_GB2312" w:hint="eastAsia"/>
          <w:lang w:eastAsia="zh-CN"/>
        </w:rPr>
        <w:t>）</w:t>
      </w:r>
      <w:r>
        <w:rPr>
          <w:rFonts w:ascii="仿宋_GB2312" w:eastAsia="仿宋_GB2312" w:hAnsi="仿宋_GB2312" w:cs="仿宋_GB2312" w:hint="eastAsia"/>
          <w:lang w:eastAsia="zh-CN"/>
        </w:rPr>
        <w:t>对于政府投融资的装配式建筑项目，施工企业缴纳的质量保证金以合同总价扣除预制构件总价作为基数乘以</w:t>
      </w:r>
      <w:r>
        <w:rPr>
          <w:rFonts w:ascii="仿宋_GB2312" w:eastAsia="仿宋_GB2312" w:hAnsi="仿宋_GB2312" w:cs="仿宋_GB2312" w:hint="eastAsia"/>
          <w:lang w:eastAsia="zh-CN"/>
        </w:rPr>
        <w:t>2%</w:t>
      </w:r>
      <w:r>
        <w:rPr>
          <w:rFonts w:ascii="仿宋_GB2312" w:eastAsia="仿宋_GB2312" w:hAnsi="仿宋_GB2312" w:cs="仿宋_GB2312" w:hint="eastAsia"/>
          <w:lang w:eastAsia="zh-CN"/>
        </w:rPr>
        <w:t>费率计取。</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shd w:val="clear" w:color="auto" w:fill="FFFF00"/>
          <w:lang w:eastAsia="zh-CN"/>
        </w:rPr>
      </w:pPr>
      <w:r>
        <w:rPr>
          <w:rFonts w:ascii="仿宋_GB2312" w:eastAsia="仿宋_GB2312" w:hAnsi="仿宋_GB2312" w:cs="仿宋_GB2312" w:hint="eastAsia"/>
          <w:lang w:eastAsia="zh-CN"/>
        </w:rPr>
        <w:t>（</w:t>
      </w:r>
      <w:r>
        <w:rPr>
          <w:rFonts w:ascii="仿宋_GB2312" w:eastAsia="仿宋_GB2312" w:hAnsi="仿宋_GB2312" w:cs="仿宋_GB2312" w:hint="eastAsia"/>
          <w:lang w:eastAsia="zh-CN"/>
        </w:rPr>
        <w:t>4</w:t>
      </w:r>
      <w:r>
        <w:rPr>
          <w:rFonts w:ascii="仿宋_GB2312" w:eastAsia="仿宋_GB2312" w:hAnsi="仿宋_GB2312" w:cs="仿宋_GB2312" w:hint="eastAsia"/>
          <w:lang w:eastAsia="zh-CN"/>
        </w:rPr>
        <w:t>）对装配式建造的商品房，鼓励金融机构对该项目开发贷款、消费贷款优先配置信贷资源、降低贷款利率、简化审批手续，加大支持力度。使用住房公积金贷款购买装配式建造的商品房，可采用公积金贷款额度最高上浮</w:t>
      </w:r>
      <w:r>
        <w:rPr>
          <w:rFonts w:ascii="仿宋_GB2312" w:eastAsia="仿宋_GB2312" w:hAnsi="仿宋_GB2312" w:cs="仿宋_GB2312" w:hint="eastAsia"/>
          <w:lang w:eastAsia="zh-CN"/>
        </w:rPr>
        <w:t>20%</w:t>
      </w:r>
      <w:r>
        <w:rPr>
          <w:rFonts w:ascii="仿宋_GB2312" w:eastAsia="仿宋_GB2312" w:hAnsi="仿宋_GB2312" w:cs="仿宋_GB2312" w:hint="eastAsia"/>
          <w:lang w:eastAsia="zh-CN"/>
        </w:rPr>
        <w:t>。</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2.</w:t>
      </w:r>
      <w:r>
        <w:rPr>
          <w:rFonts w:ascii="仿宋_GB2312" w:eastAsia="仿宋_GB2312" w:hAnsi="仿宋_GB2312" w:cs="仿宋_GB2312" w:hint="eastAsia"/>
          <w:lang w:eastAsia="zh-CN"/>
        </w:rPr>
        <w:t>政策优惠</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w:t>
      </w:r>
      <w:r>
        <w:rPr>
          <w:rFonts w:ascii="仿宋_GB2312" w:eastAsia="仿宋_GB2312" w:hAnsi="仿宋_GB2312" w:cs="仿宋_GB2312" w:hint="eastAsia"/>
          <w:lang w:eastAsia="zh-CN"/>
        </w:rPr>
        <w:t>1</w:t>
      </w:r>
      <w:r>
        <w:rPr>
          <w:rFonts w:ascii="仿宋_GB2312" w:eastAsia="仿宋_GB2312" w:hAnsi="仿宋_GB2312" w:cs="仿宋_GB2312" w:hint="eastAsia"/>
          <w:lang w:eastAsia="zh-CN"/>
        </w:rPr>
        <w:t>）对自主采用装配式建造的商品房项目，其预制外墙和叠合外墙的预制部分建筑面积可不计入容积率核算，但不超过该栋建筑地上建筑面积的</w:t>
      </w:r>
      <w:r>
        <w:rPr>
          <w:rFonts w:ascii="仿宋_GB2312" w:eastAsia="仿宋_GB2312" w:hAnsi="仿宋_GB2312" w:cs="仿宋_GB2312" w:hint="eastAsia"/>
          <w:lang w:eastAsia="zh-CN"/>
        </w:rPr>
        <w:t>3%</w:t>
      </w:r>
      <w:r>
        <w:rPr>
          <w:rFonts w:ascii="仿宋_GB2312" w:eastAsia="仿宋_GB2312" w:hAnsi="仿宋_GB2312" w:cs="仿宋_GB2312" w:hint="eastAsia"/>
          <w:lang w:eastAsia="zh-CN"/>
        </w:rPr>
        <w:t>（含本数）。对采用装配</w:t>
      </w:r>
      <w:r>
        <w:rPr>
          <w:rFonts w:ascii="仿宋_GB2312" w:eastAsia="仿宋_GB2312" w:hAnsi="仿宋_GB2312" w:cs="仿宋_GB2312" w:hint="eastAsia"/>
          <w:lang w:eastAsia="zh-CN"/>
        </w:rPr>
        <w:lastRenderedPageBreak/>
        <w:t>式建造的商品房项目，将装配式预制构件投资计入工程建设总投资额，在单体装配式建筑完成基础工程标高±</w:t>
      </w:r>
      <w:r>
        <w:rPr>
          <w:rFonts w:ascii="仿宋_GB2312" w:eastAsia="仿宋_GB2312" w:hAnsi="仿宋_GB2312" w:cs="仿宋_GB2312" w:hint="eastAsia"/>
          <w:lang w:eastAsia="zh-CN"/>
        </w:rPr>
        <w:t>0.00</w:t>
      </w:r>
      <w:r>
        <w:rPr>
          <w:rFonts w:ascii="仿宋_GB2312" w:eastAsia="仿宋_GB2312" w:hAnsi="仿宋_GB2312" w:cs="仿宋_GB2312" w:hint="eastAsia"/>
          <w:lang w:eastAsia="zh-CN"/>
        </w:rPr>
        <w:t>的标准，并已确定施工进度和竣工日期的情况下，可申请办理预售许可。</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w:t>
      </w:r>
      <w:r>
        <w:rPr>
          <w:rFonts w:ascii="仿宋_GB2312" w:eastAsia="仿宋_GB2312" w:hAnsi="仿宋_GB2312" w:cs="仿宋_GB2312" w:hint="eastAsia"/>
          <w:lang w:eastAsia="zh-CN"/>
        </w:rPr>
        <w:t>2</w:t>
      </w:r>
      <w:r>
        <w:rPr>
          <w:rFonts w:ascii="仿宋_GB2312" w:eastAsia="仿宋_GB2312" w:hAnsi="仿宋_GB2312" w:cs="仿宋_GB2312" w:hint="eastAsia"/>
          <w:lang w:eastAsia="zh-CN"/>
        </w:rPr>
        <w:t>）</w:t>
      </w:r>
      <w:r>
        <w:rPr>
          <w:rFonts w:ascii="仿宋_GB2312" w:eastAsia="仿宋_GB2312" w:hAnsi="仿宋_GB2312" w:cs="仿宋_GB2312" w:hint="eastAsia"/>
          <w:lang w:eastAsia="zh-CN"/>
        </w:rPr>
        <w:t>政府投融资的依法必须进行招标的民用建筑项目，对采用工业化建造方式的，只有少数潜在投标人可供选择的，经有权部门认定后，允许采用邀请招标。</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w:t>
      </w:r>
      <w:r>
        <w:rPr>
          <w:rFonts w:ascii="仿宋_GB2312" w:eastAsia="仿宋_GB2312" w:hAnsi="仿宋_GB2312" w:cs="仿宋_GB2312" w:hint="eastAsia"/>
          <w:lang w:eastAsia="zh-CN"/>
        </w:rPr>
        <w:t>3</w:t>
      </w:r>
      <w:r>
        <w:rPr>
          <w:rFonts w:ascii="仿宋_GB2312" w:eastAsia="仿宋_GB2312" w:hAnsi="仿宋_GB2312" w:cs="仿宋_GB2312" w:hint="eastAsia"/>
          <w:lang w:eastAsia="zh-CN"/>
        </w:rPr>
        <w:t>）优先推荐工业化试点的建设单位、施工单位、设计单位参加“鲁班奖”、全国优秀工程勘察设计奖、国家康居示范工程、“闽江杯”、绿色建筑、省级标准化优良项目等荣誉的评</w:t>
      </w:r>
      <w:r>
        <w:rPr>
          <w:rFonts w:ascii="仿宋_GB2312" w:eastAsia="仿宋_GB2312" w:hAnsi="仿宋_GB2312" w:cs="仿宋_GB2312" w:hint="eastAsia"/>
          <w:lang w:eastAsia="zh-CN"/>
        </w:rPr>
        <w:t>审。</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w:t>
      </w:r>
      <w:r>
        <w:rPr>
          <w:rFonts w:ascii="仿宋_GB2312" w:eastAsia="仿宋_GB2312" w:hAnsi="仿宋_GB2312" w:cs="仿宋_GB2312" w:hint="eastAsia"/>
          <w:lang w:eastAsia="zh-CN"/>
        </w:rPr>
        <w:t>4</w:t>
      </w:r>
      <w:r>
        <w:rPr>
          <w:rFonts w:ascii="仿宋_GB2312" w:eastAsia="仿宋_GB2312" w:hAnsi="仿宋_GB2312" w:cs="仿宋_GB2312" w:hint="eastAsia"/>
          <w:lang w:eastAsia="zh-CN"/>
        </w:rPr>
        <w:t>）加大宣传推广。加强对装配式建筑的政策宣传，利用网络等媒体手段，构筑信息交流平台，及时报道最新产业动向，营造良好市场氛围，提升社会对建筑工业化的认知度，引导消费者购买产业化建筑，倡导低碳环保的消费模式和生活方式。</w:t>
      </w:r>
    </w:p>
    <w:p w:rsidR="00E462BF" w:rsidRDefault="007B556E">
      <w:pPr>
        <w:tabs>
          <w:tab w:val="left" w:pos="2160"/>
          <w:tab w:val="left" w:pos="2925"/>
        </w:tabs>
        <w:spacing w:line="600" w:lineRule="exact"/>
        <w:ind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w:t>
      </w:r>
      <w:r>
        <w:rPr>
          <w:rFonts w:ascii="仿宋_GB2312" w:eastAsia="仿宋_GB2312" w:hAnsi="仿宋_GB2312" w:cs="仿宋_GB2312" w:hint="eastAsia"/>
          <w:lang w:eastAsia="zh-CN"/>
        </w:rPr>
        <w:t>三</w:t>
      </w:r>
      <w:r>
        <w:rPr>
          <w:rFonts w:ascii="仿宋_GB2312" w:eastAsia="仿宋_GB2312" w:hAnsi="仿宋_GB2312" w:cs="仿宋_GB2312" w:hint="eastAsia"/>
          <w:lang w:eastAsia="zh-CN"/>
        </w:rPr>
        <w:t>)</w:t>
      </w:r>
      <w:r>
        <w:rPr>
          <w:rFonts w:ascii="仿宋_GB2312" w:eastAsia="仿宋_GB2312" w:hAnsi="仿宋_GB2312" w:cs="仿宋_GB2312" w:hint="eastAsia"/>
          <w:lang w:eastAsia="zh-CN"/>
        </w:rPr>
        <w:t>装配式构件生产企业扶持政策</w:t>
      </w:r>
    </w:p>
    <w:p w:rsidR="00E462BF" w:rsidRDefault="007B556E">
      <w:pPr>
        <w:pStyle w:val="a4"/>
        <w:widowControl/>
        <w:spacing w:before="0" w:beforeAutospacing="0" w:after="0" w:afterAutospacing="0" w:line="600" w:lineRule="exact"/>
        <w:rPr>
          <w:rFonts w:ascii="仿宋_GB2312" w:eastAsia="仿宋_GB2312" w:hAnsi="仿宋_GB2312" w:cs="仿宋_GB2312"/>
          <w:kern w:val="2"/>
          <w:sz w:val="32"/>
        </w:rPr>
      </w:pPr>
      <w:r>
        <w:rPr>
          <w:rFonts w:ascii="仿宋_GB2312" w:eastAsia="仿宋_GB2312" w:hAnsi="仿宋_GB2312" w:cs="仿宋_GB2312" w:hint="eastAsia"/>
          <w:sz w:val="32"/>
        </w:rPr>
        <w:t xml:space="preserve">    </w:t>
      </w:r>
      <w:r>
        <w:rPr>
          <w:rFonts w:ascii="仿宋_GB2312" w:eastAsia="仿宋_GB2312" w:hAnsi="仿宋_GB2312" w:cs="仿宋_GB2312" w:hint="eastAsia"/>
          <w:kern w:val="2"/>
          <w:sz w:val="32"/>
        </w:rPr>
        <w:t>开发区支持符合开发区总体发展要求的装配式构建生产企业来区发展，鼓励</w:t>
      </w:r>
      <w:r>
        <w:rPr>
          <w:rFonts w:ascii="仿宋_GB2312" w:eastAsia="仿宋_GB2312" w:hAnsi="仿宋_GB2312" w:cs="仿宋_GB2312" w:hint="eastAsia"/>
          <w:kern w:val="2"/>
          <w:sz w:val="32"/>
        </w:rPr>
        <w:t>商品混凝土搅拌厂、预制管桩厂、水泥生产企业、水暖生产企业以及建筑施工企业等延伸产业链，结合产业发展，投资建设满足装配式建筑发展需要的现代化产业基地。</w:t>
      </w:r>
      <w:r>
        <w:rPr>
          <w:rFonts w:ascii="仿宋_GB2312" w:eastAsia="仿宋_GB2312" w:hAnsi="仿宋_GB2312" w:cs="仿宋_GB2312" w:hint="eastAsia"/>
          <w:kern w:val="2"/>
          <w:sz w:val="32"/>
        </w:rPr>
        <w:t>鼓励成立包括开发、科研、设计、部品部件生产、</w:t>
      </w:r>
      <w:r>
        <w:rPr>
          <w:rFonts w:ascii="仿宋_GB2312" w:eastAsia="仿宋_GB2312" w:hAnsi="仿宋_GB2312" w:cs="仿宋_GB2312" w:hint="eastAsia"/>
          <w:kern w:val="2"/>
          <w:sz w:val="32"/>
        </w:rPr>
        <w:lastRenderedPageBreak/>
        <w:t>物流配送、施工、运营维护、信息技术等在内的产业联盟，延伸产业链，优化整合资源，实现融合互动发展。</w:t>
      </w:r>
    </w:p>
    <w:p w:rsidR="00E462BF" w:rsidRDefault="007B556E">
      <w:pPr>
        <w:pStyle w:val="a4"/>
        <w:widowControl/>
        <w:spacing w:before="0" w:beforeAutospacing="0" w:after="0" w:afterAutospacing="0" w:line="600" w:lineRule="exact"/>
        <w:ind w:firstLine="640"/>
        <w:rPr>
          <w:rFonts w:ascii="仿宋_GB2312" w:eastAsia="仿宋_GB2312" w:hAnsi="仿宋_GB2312" w:cs="仿宋_GB2312"/>
          <w:kern w:val="2"/>
          <w:sz w:val="32"/>
        </w:rPr>
      </w:pPr>
      <w:r>
        <w:rPr>
          <w:rFonts w:ascii="仿宋_GB2312" w:eastAsia="仿宋_GB2312" w:hAnsi="仿宋_GB2312" w:cs="仿宋_GB2312" w:hint="eastAsia"/>
          <w:kern w:val="2"/>
          <w:sz w:val="32"/>
        </w:rPr>
        <w:t>开发区将根据土地利用总体规划、区域总体规划，重点保障装配式建筑产业基地（园区）建设用地需要，支持依法开采生产所需的普通建筑用石料（含机制砂）。</w:t>
      </w:r>
    </w:p>
    <w:p w:rsidR="00E462BF" w:rsidRDefault="007B556E">
      <w:pPr>
        <w:pStyle w:val="a4"/>
        <w:widowControl/>
        <w:spacing w:before="0" w:beforeAutospacing="0" w:after="0" w:afterAutospacing="0" w:line="600" w:lineRule="exact"/>
        <w:ind w:firstLine="640"/>
        <w:jc w:val="both"/>
        <w:rPr>
          <w:rFonts w:ascii="仿宋_GB2312" w:eastAsia="仿宋_GB2312" w:hAnsi="仿宋_GB2312" w:cs="仿宋_GB2312"/>
          <w:kern w:val="2"/>
          <w:sz w:val="32"/>
        </w:rPr>
      </w:pPr>
      <w:r>
        <w:rPr>
          <w:rFonts w:ascii="仿宋_GB2312" w:eastAsia="仿宋_GB2312" w:hAnsi="仿宋_GB2312" w:cs="仿宋_GB2312" w:hint="eastAsia"/>
          <w:kern w:val="2"/>
          <w:sz w:val="32"/>
        </w:rPr>
        <w:t>对于在装配式产业基地（园区）建设配套人才公寓、员工公寓、公共租赁住房的，可纳入当地保障性安居工程年度计划，按规定享受相应优惠政策。</w:t>
      </w:r>
    </w:p>
    <w:p w:rsidR="00E462BF" w:rsidRDefault="007B556E">
      <w:pPr>
        <w:pStyle w:val="a4"/>
        <w:widowControl/>
        <w:spacing w:beforeAutospacing="0" w:after="0" w:afterAutospacing="0" w:line="600" w:lineRule="exact"/>
        <w:jc w:val="both"/>
        <w:rPr>
          <w:rFonts w:ascii="仿宋_GB2312" w:eastAsia="仿宋_GB2312" w:hAnsi="仿宋_GB2312" w:cs="仿宋_GB2312"/>
          <w:kern w:val="2"/>
          <w:sz w:val="32"/>
        </w:rPr>
      </w:pPr>
      <w:r>
        <w:rPr>
          <w:rFonts w:ascii="仿宋_GB2312" w:eastAsia="仿宋_GB2312" w:hAnsi="仿宋_GB2312" w:cs="仿宋_GB2312" w:hint="eastAsia"/>
          <w:kern w:val="2"/>
          <w:sz w:val="32"/>
        </w:rPr>
        <w:t xml:space="preserve">    </w:t>
      </w:r>
      <w:r>
        <w:rPr>
          <w:rFonts w:ascii="仿宋_GB2312" w:eastAsia="仿宋_GB2312" w:hAnsi="仿宋_GB2312" w:cs="仿宋_GB2312" w:hint="eastAsia"/>
          <w:kern w:val="2"/>
          <w:sz w:val="32"/>
        </w:rPr>
        <w:t>优先推荐装配式建筑相关企业申报及复审高新技术企业，优先推荐装配式建筑</w:t>
      </w:r>
      <w:r>
        <w:rPr>
          <w:rFonts w:ascii="仿宋_GB2312" w:eastAsia="仿宋_GB2312" w:hAnsi="仿宋_GB2312" w:cs="仿宋_GB2312" w:hint="eastAsia"/>
          <w:kern w:val="2"/>
          <w:sz w:val="32"/>
        </w:rPr>
        <w:t>项目参与地方、省级及国家级奖项的申报。</w:t>
      </w:r>
    </w:p>
    <w:p w:rsidR="00E462BF" w:rsidRDefault="007B556E">
      <w:pPr>
        <w:tabs>
          <w:tab w:val="left" w:pos="2160"/>
          <w:tab w:val="left" w:pos="2925"/>
        </w:tabs>
        <w:spacing w:line="600" w:lineRule="exact"/>
        <w:ind w:leftChars="200" w:left="640"/>
        <w:jc w:val="both"/>
        <w:rPr>
          <w:rFonts w:ascii="黑体" w:eastAsia="黑体" w:hAnsi="黑体" w:cs="黑体"/>
          <w:lang w:eastAsia="zh-CN"/>
        </w:rPr>
      </w:pPr>
      <w:r>
        <w:rPr>
          <w:rFonts w:ascii="黑体" w:eastAsia="黑体" w:hAnsi="黑体" w:cs="黑体" w:hint="eastAsia"/>
          <w:lang w:eastAsia="zh-CN"/>
        </w:rPr>
        <w:t>四、办理程序及过程监督</w:t>
      </w:r>
    </w:p>
    <w:p w:rsidR="00E462BF" w:rsidRDefault="007B556E">
      <w:pPr>
        <w:tabs>
          <w:tab w:val="left" w:pos="2160"/>
          <w:tab w:val="left" w:pos="2925"/>
        </w:tabs>
        <w:spacing w:line="600" w:lineRule="exact"/>
        <w:jc w:val="both"/>
        <w:rPr>
          <w:rFonts w:ascii="仿宋_GB2312" w:eastAsia="仿宋_GB2312" w:hAnsi="仿宋_GB2312" w:cs="仿宋_GB2312"/>
          <w:lang w:eastAsia="zh-CN"/>
        </w:rPr>
      </w:pPr>
      <w:r>
        <w:rPr>
          <w:rFonts w:ascii="仿宋_GB2312" w:eastAsia="仿宋_GB2312" w:hAnsi="仿宋_GB2312" w:cs="仿宋_GB2312" w:hint="eastAsia"/>
          <w:lang w:eastAsia="zh-CN"/>
        </w:rPr>
        <w:t xml:space="preserve">    </w:t>
      </w:r>
      <w:r>
        <w:rPr>
          <w:rFonts w:ascii="仿宋_GB2312" w:eastAsia="仿宋_GB2312" w:hAnsi="仿宋_GB2312" w:cs="仿宋_GB2312" w:hint="eastAsia"/>
          <w:lang w:eastAsia="zh-CN"/>
        </w:rPr>
        <w:t>（一）（提出申请并承诺）建设单位在申报建筑设计方案核查前，应向建设行政主管部门提出实施装配式建筑的申请并出具承诺函，承诺函中明确项目严格按照福建省装配式建筑的相关技术要求实施。</w:t>
      </w:r>
    </w:p>
    <w:p w:rsidR="00E462BF" w:rsidRDefault="007B556E">
      <w:pPr>
        <w:tabs>
          <w:tab w:val="left" w:pos="2160"/>
          <w:tab w:val="left" w:pos="2925"/>
        </w:tabs>
        <w:spacing w:line="600" w:lineRule="exact"/>
        <w:jc w:val="both"/>
        <w:rPr>
          <w:rFonts w:ascii="仿宋_GB2312" w:eastAsia="仿宋_GB2312" w:hAnsi="仿宋_GB2312" w:cs="仿宋_GB2312"/>
          <w:lang w:eastAsia="zh-CN"/>
        </w:rPr>
      </w:pPr>
      <w:r>
        <w:rPr>
          <w:rFonts w:ascii="仿宋_GB2312" w:eastAsia="仿宋_GB2312" w:hAnsi="仿宋_GB2312" w:cs="仿宋_GB2312" w:hint="eastAsia"/>
          <w:lang w:eastAsia="zh-CN"/>
        </w:rPr>
        <w:t xml:space="preserve">    </w:t>
      </w:r>
      <w:r>
        <w:rPr>
          <w:rFonts w:ascii="仿宋_GB2312" w:eastAsia="仿宋_GB2312" w:hAnsi="仿宋_GB2312" w:cs="仿宋_GB2312" w:hint="eastAsia"/>
          <w:lang w:eastAsia="zh-CN"/>
        </w:rPr>
        <w:t>（二）（方案申报）建设单位在申报建筑设计方案时，在项目方案设计文件中应当有装配式建筑设计说明专篇，明确提出按照预制率、装配率等技术要求进行装配式建筑设计，以及实施装配式住宅的建筑面积总和、申请奖励的种类。</w:t>
      </w:r>
    </w:p>
    <w:p w:rsidR="00E462BF" w:rsidRDefault="007B556E">
      <w:pPr>
        <w:tabs>
          <w:tab w:val="left" w:pos="2160"/>
          <w:tab w:val="left" w:pos="2925"/>
        </w:tabs>
        <w:spacing w:line="600" w:lineRule="exact"/>
        <w:jc w:val="both"/>
        <w:rPr>
          <w:rFonts w:ascii="仿宋_GB2312" w:eastAsia="仿宋_GB2312" w:hAnsi="仿宋_GB2312" w:cs="仿宋_GB2312"/>
          <w:lang w:eastAsia="zh-CN"/>
        </w:rPr>
      </w:pPr>
      <w:r>
        <w:rPr>
          <w:rFonts w:ascii="仿宋_GB2312" w:eastAsia="仿宋_GB2312" w:hAnsi="仿宋_GB2312" w:cs="仿宋_GB2312" w:hint="eastAsia"/>
          <w:lang w:eastAsia="zh-CN"/>
        </w:rPr>
        <w:t xml:space="preserve">    </w:t>
      </w:r>
      <w:r>
        <w:rPr>
          <w:rFonts w:ascii="仿宋_GB2312" w:eastAsia="仿宋_GB2312" w:hAnsi="仿宋_GB2312" w:cs="仿宋_GB2312" w:hint="eastAsia"/>
          <w:lang w:eastAsia="zh-CN"/>
        </w:rPr>
        <w:t>（三）（技术认定）建设单位在项目方案设计核查、初步设计完成后，应当向建设行政主管部门提出装配式建筑设计阶段技术认定申请，并提交装配式建筑项目设计阶段技术认</w:t>
      </w:r>
      <w:r>
        <w:rPr>
          <w:rFonts w:ascii="仿宋_GB2312" w:eastAsia="仿宋_GB2312" w:hAnsi="仿宋_GB2312" w:cs="仿宋_GB2312" w:hint="eastAsia"/>
          <w:lang w:eastAsia="zh-CN"/>
        </w:rPr>
        <w:lastRenderedPageBreak/>
        <w:t>定申请表、装配式建筑项目预制率和装配率计算书（须由施工图审查机构初步审核后盖章确认）、装配式建筑项目实施方案等材料。建设行政主管部门组织专家对建设单位提交的相关材料进行技术认定，并出具设计阶段技术认定意见书。</w:t>
      </w:r>
    </w:p>
    <w:p w:rsidR="00E462BF" w:rsidRDefault="007B556E">
      <w:pPr>
        <w:tabs>
          <w:tab w:val="left" w:pos="2160"/>
          <w:tab w:val="left" w:pos="2925"/>
        </w:tabs>
        <w:spacing w:line="600" w:lineRule="exact"/>
        <w:ind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（四）（图纸复审）建设单位在项目施工图设计完成后，应将建设行政主管部门的技术认定意见书、装配式建筑项目设计阶段技术认定申请表、装配式建筑项目</w:t>
      </w:r>
      <w:r>
        <w:rPr>
          <w:rFonts w:ascii="仿宋_GB2312" w:eastAsia="仿宋_GB2312" w:hAnsi="仿宋_GB2312" w:cs="仿宋_GB2312" w:hint="eastAsia"/>
          <w:lang w:eastAsia="zh-CN"/>
        </w:rPr>
        <w:t>预制率和装配率计算书、装配式建筑项目实施方案等材料和施工图设计文件提交至施工图审查机构复核预制率和装配率，由施工图审查机构出具复审意见书。经审查施工图设计文件和装配式建筑项目设计阶段技术认定意见书、装配式建筑项目技术认定申报材料不符的，不予出具施工图设计文件审查合格意见，建设单位应当重新申请技术认定。规划建设局审核完成后，上报管委会，由管委会签批相应奖励措施，奖励资金将由规划建设局在下一年的预算中申报。</w:t>
      </w:r>
    </w:p>
    <w:p w:rsidR="00E462BF" w:rsidRDefault="007B556E">
      <w:pPr>
        <w:tabs>
          <w:tab w:val="left" w:pos="2160"/>
          <w:tab w:val="left" w:pos="2925"/>
        </w:tabs>
        <w:spacing w:line="600" w:lineRule="exact"/>
        <w:ind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（五）（奖励公示）在正式签批奖励措施前，需向社会公示，必要时举行听证会，听取各方面意见，并在批准前向社会</w:t>
      </w:r>
      <w:r>
        <w:rPr>
          <w:rFonts w:ascii="仿宋_GB2312" w:eastAsia="仿宋_GB2312" w:hAnsi="仿宋_GB2312" w:cs="仿宋_GB2312" w:hint="eastAsia"/>
          <w:lang w:eastAsia="zh-CN"/>
        </w:rPr>
        <w:t>公示。</w:t>
      </w:r>
    </w:p>
    <w:p w:rsidR="00E462BF" w:rsidRDefault="007B556E">
      <w:pPr>
        <w:tabs>
          <w:tab w:val="left" w:pos="2160"/>
          <w:tab w:val="left" w:pos="2925"/>
        </w:tabs>
        <w:spacing w:line="600" w:lineRule="exact"/>
        <w:jc w:val="both"/>
        <w:rPr>
          <w:rFonts w:ascii="仿宋_GB2312" w:eastAsia="仿宋_GB2312" w:hAnsi="仿宋_GB2312" w:cs="仿宋_GB2312"/>
          <w:lang w:eastAsia="zh-CN"/>
        </w:rPr>
      </w:pPr>
      <w:r>
        <w:rPr>
          <w:rFonts w:ascii="仿宋_GB2312" w:eastAsia="仿宋_GB2312" w:hAnsi="仿宋_GB2312" w:cs="仿宋_GB2312" w:hint="eastAsia"/>
          <w:lang w:eastAsia="zh-CN"/>
        </w:rPr>
        <w:t xml:space="preserve">    </w:t>
      </w:r>
      <w:r>
        <w:rPr>
          <w:rFonts w:ascii="仿宋_GB2312" w:eastAsia="仿宋_GB2312" w:hAnsi="仿宋_GB2312" w:cs="仿宋_GB2312" w:hint="eastAsia"/>
          <w:lang w:eastAsia="zh-CN"/>
        </w:rPr>
        <w:t>（六）</w:t>
      </w:r>
      <w:r>
        <w:rPr>
          <w:rFonts w:ascii="仿宋_GB2312" w:eastAsia="仿宋_GB2312" w:hAnsi="仿宋_GB2312" w:cs="仿宋_GB2312" w:hint="eastAsia"/>
          <w:lang w:eastAsia="zh-CN"/>
        </w:rPr>
        <w:t>(</w:t>
      </w:r>
      <w:r>
        <w:rPr>
          <w:rFonts w:ascii="仿宋_GB2312" w:eastAsia="仿宋_GB2312" w:hAnsi="仿宋_GB2312" w:cs="仿宋_GB2312" w:hint="eastAsia"/>
          <w:lang w:eastAsia="zh-CN"/>
        </w:rPr>
        <w:t>建设工程规划许可</w:t>
      </w:r>
      <w:r>
        <w:rPr>
          <w:rFonts w:ascii="仿宋_GB2312" w:eastAsia="仿宋_GB2312" w:hAnsi="仿宋_GB2312" w:cs="仿宋_GB2312" w:hint="eastAsia"/>
          <w:lang w:eastAsia="zh-CN"/>
        </w:rPr>
        <w:t>)</w:t>
      </w:r>
      <w:r>
        <w:rPr>
          <w:rFonts w:ascii="仿宋_GB2312" w:eastAsia="仿宋_GB2312" w:hAnsi="仿宋_GB2312" w:cs="仿宋_GB2312" w:hint="eastAsia"/>
          <w:lang w:eastAsia="zh-CN"/>
        </w:rPr>
        <w:t>建设单位向规划行政主管部门申请办理《建设工程规划许可证》时，应当在施工图设计文件中注明奖励建筑面积的数量和比例。规划行政主管部门将奖励建筑面积备注在《建设工程规划许可证》中。</w:t>
      </w:r>
    </w:p>
    <w:p w:rsidR="00E462BF" w:rsidRDefault="007B556E">
      <w:pPr>
        <w:tabs>
          <w:tab w:val="left" w:pos="2160"/>
          <w:tab w:val="left" w:pos="2925"/>
        </w:tabs>
        <w:spacing w:line="600" w:lineRule="exact"/>
        <w:jc w:val="both"/>
        <w:rPr>
          <w:rFonts w:ascii="仿宋_GB2312" w:eastAsia="仿宋_GB2312" w:hAnsi="仿宋_GB2312" w:cs="仿宋_GB2312"/>
          <w:lang w:eastAsia="zh-CN"/>
        </w:rPr>
      </w:pPr>
      <w:r>
        <w:rPr>
          <w:rFonts w:ascii="仿宋_GB2312" w:eastAsia="仿宋_GB2312" w:hAnsi="仿宋_GB2312" w:cs="仿宋_GB2312" w:hint="eastAsia"/>
          <w:spacing w:val="-4"/>
          <w:lang w:eastAsia="zh-CN"/>
        </w:rPr>
        <w:t xml:space="preserve">    </w:t>
      </w:r>
      <w:r>
        <w:rPr>
          <w:rFonts w:ascii="仿宋_GB2312" w:eastAsia="仿宋_GB2312" w:hAnsi="仿宋_GB2312" w:cs="仿宋_GB2312" w:hint="eastAsia"/>
          <w:spacing w:val="-4"/>
          <w:lang w:eastAsia="zh-CN"/>
        </w:rPr>
        <w:t>（七）（商品房</w:t>
      </w:r>
      <w:r>
        <w:rPr>
          <w:rFonts w:ascii="仿宋_GB2312" w:eastAsia="仿宋_GB2312" w:hAnsi="仿宋_GB2312" w:cs="仿宋_GB2312" w:hint="eastAsia"/>
          <w:spacing w:val="-4"/>
        </w:rPr>
        <w:t>预售</w:t>
      </w:r>
      <w:r>
        <w:rPr>
          <w:rFonts w:ascii="仿宋_GB2312" w:eastAsia="仿宋_GB2312" w:hAnsi="仿宋_GB2312" w:cs="仿宋_GB2312" w:hint="eastAsia"/>
          <w:spacing w:val="-4"/>
          <w:lang w:eastAsia="zh-CN"/>
        </w:rPr>
        <w:t>许可）</w:t>
      </w:r>
      <w:r>
        <w:rPr>
          <w:rFonts w:ascii="仿宋_GB2312" w:eastAsia="仿宋_GB2312" w:hAnsi="仿宋_GB2312" w:cs="仿宋_GB2312" w:hint="eastAsia"/>
          <w:spacing w:val="-4"/>
        </w:rPr>
        <w:t>建设单位申请办理</w:t>
      </w:r>
      <w:r>
        <w:rPr>
          <w:rFonts w:ascii="仿宋_GB2312" w:eastAsia="仿宋_GB2312" w:hAnsi="仿宋_GB2312" w:cs="仿宋_GB2312" w:hint="eastAsia"/>
          <w:spacing w:val="-4"/>
          <w:lang w:eastAsia="zh-CN"/>
        </w:rPr>
        <w:t>商品房</w:t>
      </w:r>
      <w:r>
        <w:rPr>
          <w:rFonts w:ascii="仿宋_GB2312" w:eastAsia="仿宋_GB2312" w:hAnsi="仿宋_GB2312" w:cs="仿宋_GB2312" w:hint="eastAsia"/>
          <w:spacing w:val="-4"/>
        </w:rPr>
        <w:t>预售</w:t>
      </w:r>
      <w:r>
        <w:rPr>
          <w:rFonts w:ascii="仿宋_GB2312" w:eastAsia="仿宋_GB2312" w:hAnsi="仿宋_GB2312" w:cs="仿宋_GB2312" w:hint="eastAsia"/>
          <w:spacing w:val="-4"/>
          <w:lang w:eastAsia="zh-CN"/>
        </w:rPr>
        <w:t>许</w:t>
      </w:r>
      <w:r>
        <w:rPr>
          <w:rFonts w:ascii="仿宋_GB2312" w:eastAsia="仿宋_GB2312" w:hAnsi="仿宋_GB2312" w:cs="仿宋_GB2312" w:hint="eastAsia"/>
          <w:spacing w:val="-4"/>
          <w:lang w:eastAsia="zh-CN"/>
        </w:rPr>
        <w:lastRenderedPageBreak/>
        <w:t>可</w:t>
      </w:r>
      <w:r>
        <w:rPr>
          <w:rFonts w:ascii="仿宋_GB2312" w:eastAsia="仿宋_GB2312" w:hAnsi="仿宋_GB2312" w:cs="仿宋_GB2312" w:hint="eastAsia"/>
          <w:spacing w:val="-4"/>
        </w:rPr>
        <w:t>时，应</w:t>
      </w:r>
      <w:r>
        <w:rPr>
          <w:rFonts w:ascii="仿宋_GB2312" w:eastAsia="仿宋_GB2312" w:hAnsi="仿宋_GB2312" w:cs="仿宋_GB2312" w:hint="eastAsia"/>
          <w:spacing w:val="-4"/>
          <w:lang w:eastAsia="zh-CN"/>
        </w:rPr>
        <w:t>当</w:t>
      </w:r>
      <w:r>
        <w:rPr>
          <w:rFonts w:ascii="仿宋_GB2312" w:eastAsia="仿宋_GB2312" w:hAnsi="仿宋_GB2312" w:cs="仿宋_GB2312" w:hint="eastAsia"/>
          <w:spacing w:val="-4"/>
        </w:rPr>
        <w:t>在申请图纸中明确标注奖励住宅户型的位置和面积。</w:t>
      </w:r>
    </w:p>
    <w:p w:rsidR="00E462BF" w:rsidRDefault="007B556E">
      <w:pPr>
        <w:tabs>
          <w:tab w:val="left" w:pos="2160"/>
          <w:tab w:val="left" w:pos="2925"/>
        </w:tabs>
        <w:spacing w:line="600" w:lineRule="exact"/>
        <w:jc w:val="both"/>
        <w:rPr>
          <w:rFonts w:ascii="仿宋_GB2312" w:eastAsia="仿宋_GB2312" w:hAnsi="仿宋_GB2312" w:cs="仿宋_GB2312"/>
          <w:lang w:eastAsia="zh-CN"/>
        </w:rPr>
      </w:pPr>
      <w:r>
        <w:rPr>
          <w:rFonts w:ascii="仿宋_GB2312" w:eastAsia="仿宋_GB2312" w:hAnsi="仿宋_GB2312" w:cs="仿宋_GB2312" w:hint="eastAsia"/>
          <w:lang w:eastAsia="zh-CN"/>
        </w:rPr>
        <w:t xml:space="preserve">    </w:t>
      </w:r>
      <w:r>
        <w:rPr>
          <w:rFonts w:ascii="仿宋_GB2312" w:eastAsia="仿宋_GB2312" w:hAnsi="仿宋_GB2312" w:cs="仿宋_GB2312" w:hint="eastAsia"/>
          <w:lang w:eastAsia="zh-CN"/>
        </w:rPr>
        <w:t>（八）（日常监督）质量安全监督站将建设项目实施装配式建筑的情况纳入到日常监督检查工作中，将有关监督检查情况形成书面监督记录。</w:t>
      </w:r>
    </w:p>
    <w:p w:rsidR="00E462BF" w:rsidRDefault="007B556E">
      <w:pPr>
        <w:tabs>
          <w:tab w:val="left" w:pos="2160"/>
          <w:tab w:val="left" w:pos="2925"/>
        </w:tabs>
        <w:spacing w:line="600" w:lineRule="exact"/>
        <w:jc w:val="both"/>
        <w:rPr>
          <w:rFonts w:ascii="仿宋_GB2312" w:eastAsia="仿宋_GB2312" w:hAnsi="仿宋_GB2312" w:cs="仿宋_GB2312"/>
          <w:spacing w:val="-4"/>
        </w:rPr>
      </w:pPr>
      <w:r>
        <w:rPr>
          <w:rFonts w:ascii="仿宋_GB2312" w:eastAsia="仿宋_GB2312" w:hAnsi="仿宋_GB2312" w:cs="仿宋_GB2312" w:hint="eastAsia"/>
          <w:lang w:eastAsia="zh-CN"/>
        </w:rPr>
        <w:t xml:space="preserve">    </w:t>
      </w:r>
      <w:r>
        <w:rPr>
          <w:rFonts w:ascii="仿宋_GB2312" w:eastAsia="仿宋_GB2312" w:hAnsi="仿宋_GB2312" w:cs="仿宋_GB2312" w:hint="eastAsia"/>
          <w:lang w:eastAsia="zh-CN"/>
        </w:rPr>
        <w:t>（九）</w:t>
      </w:r>
      <w:r>
        <w:rPr>
          <w:rFonts w:ascii="仿宋_GB2312" w:eastAsia="仿宋_GB2312" w:hAnsi="仿宋_GB2312" w:cs="仿宋_GB2312" w:hint="eastAsia"/>
          <w:lang w:eastAsia="zh-CN"/>
        </w:rPr>
        <w:t>(</w:t>
      </w:r>
      <w:r>
        <w:rPr>
          <w:rFonts w:ascii="仿宋_GB2312" w:eastAsia="仿宋_GB2312" w:hAnsi="仿宋_GB2312" w:cs="仿宋_GB2312" w:hint="eastAsia"/>
          <w:spacing w:val="-4"/>
        </w:rPr>
        <w:t>建设工程规划</w:t>
      </w:r>
      <w:r>
        <w:rPr>
          <w:rFonts w:ascii="仿宋_GB2312" w:eastAsia="仿宋_GB2312" w:hAnsi="仿宋_GB2312" w:cs="仿宋_GB2312" w:hint="eastAsia"/>
          <w:spacing w:val="-4"/>
          <w:lang w:eastAsia="zh-CN"/>
        </w:rPr>
        <w:t>条件核实</w:t>
      </w:r>
      <w:r>
        <w:rPr>
          <w:rFonts w:ascii="仿宋_GB2312" w:eastAsia="仿宋_GB2312" w:hAnsi="仿宋_GB2312" w:cs="仿宋_GB2312" w:hint="eastAsia"/>
          <w:lang w:eastAsia="zh-CN"/>
        </w:rPr>
        <w:t>)</w:t>
      </w:r>
      <w:r>
        <w:rPr>
          <w:rFonts w:ascii="仿宋_GB2312" w:eastAsia="仿宋_GB2312" w:hAnsi="仿宋_GB2312" w:cs="仿宋_GB2312" w:hint="eastAsia"/>
          <w:lang w:eastAsia="zh-CN"/>
        </w:rPr>
        <w:t>建设</w:t>
      </w:r>
      <w:r>
        <w:rPr>
          <w:rFonts w:ascii="仿宋_GB2312" w:eastAsia="仿宋_GB2312" w:hAnsi="仿宋_GB2312" w:cs="仿宋_GB2312" w:hint="eastAsia"/>
          <w:lang w:eastAsia="zh-CN"/>
        </w:rPr>
        <w:t>单位向规划行政主管部门申请办理《建设工程竣工规划条件核实意见书》时，应当提供质量安全监督机构对项目实施装配式建筑情况的意见。规划行政主管部门将奖励建筑面积备注在《建设工程竣工规划条件核实意见书》中。</w:t>
      </w:r>
    </w:p>
    <w:p w:rsidR="00E462BF" w:rsidRDefault="007B556E">
      <w:pPr>
        <w:tabs>
          <w:tab w:val="left" w:pos="2160"/>
          <w:tab w:val="left" w:pos="2925"/>
        </w:tabs>
        <w:spacing w:line="600" w:lineRule="exact"/>
        <w:jc w:val="both"/>
        <w:rPr>
          <w:rFonts w:ascii="仿宋_GB2312" w:eastAsia="仿宋_GB2312" w:hAnsi="仿宋_GB2312" w:cs="仿宋_GB2312"/>
          <w:lang w:eastAsia="zh-CN"/>
        </w:rPr>
      </w:pPr>
      <w:r>
        <w:rPr>
          <w:rFonts w:ascii="仿宋_GB2312" w:eastAsia="仿宋_GB2312" w:hAnsi="仿宋_GB2312" w:cs="仿宋_GB2312" w:hint="eastAsia"/>
          <w:spacing w:val="-4"/>
          <w:lang w:eastAsia="zh-CN"/>
        </w:rPr>
        <w:t xml:space="preserve">    </w:t>
      </w:r>
      <w:r>
        <w:rPr>
          <w:rFonts w:ascii="仿宋_GB2312" w:eastAsia="仿宋_GB2312" w:hAnsi="仿宋_GB2312" w:cs="仿宋_GB2312" w:hint="eastAsia"/>
          <w:spacing w:val="-4"/>
          <w:lang w:eastAsia="zh-CN"/>
        </w:rPr>
        <w:t>（十）</w:t>
      </w:r>
      <w:r>
        <w:rPr>
          <w:rFonts w:ascii="仿宋_GB2312" w:eastAsia="仿宋_GB2312" w:hAnsi="仿宋_GB2312" w:cs="仿宋_GB2312" w:hint="eastAsia"/>
          <w:spacing w:val="-4"/>
          <w:lang w:eastAsia="zh-CN"/>
        </w:rPr>
        <w:t>(</w:t>
      </w:r>
      <w:r>
        <w:rPr>
          <w:rFonts w:ascii="仿宋_GB2312" w:eastAsia="仿宋_GB2312" w:hAnsi="仿宋_GB2312" w:cs="仿宋_GB2312" w:hint="eastAsia"/>
          <w:spacing w:val="-4"/>
          <w:lang w:eastAsia="zh-CN"/>
        </w:rPr>
        <w:t>竣工验收</w:t>
      </w:r>
      <w:r>
        <w:rPr>
          <w:rFonts w:ascii="仿宋_GB2312" w:eastAsia="仿宋_GB2312" w:hAnsi="仿宋_GB2312" w:cs="仿宋_GB2312" w:hint="eastAsia"/>
          <w:spacing w:val="-4"/>
          <w:lang w:eastAsia="zh-CN"/>
        </w:rPr>
        <w:t>)</w:t>
      </w:r>
      <w:r>
        <w:rPr>
          <w:rFonts w:ascii="仿宋_GB2312" w:eastAsia="仿宋_GB2312" w:hAnsi="仿宋_GB2312" w:cs="仿宋_GB2312" w:hint="eastAsia"/>
          <w:spacing w:val="-4"/>
        </w:rPr>
        <w:t>建设单位</w:t>
      </w:r>
      <w:r>
        <w:rPr>
          <w:rFonts w:ascii="仿宋_GB2312" w:eastAsia="仿宋_GB2312" w:hAnsi="仿宋_GB2312" w:cs="仿宋_GB2312" w:hint="eastAsia"/>
        </w:rPr>
        <w:t>应当在工程竣工验收报告中增加装配式建筑专篇，包括实施装配式建筑的单体建筑位置和面积、结构类型、预制构件种类、装配式施工技术、预制率和装配率等内容，注明是否符合</w:t>
      </w:r>
      <w:r>
        <w:rPr>
          <w:rFonts w:ascii="仿宋_GB2312" w:eastAsia="仿宋_GB2312" w:hAnsi="仿宋_GB2312" w:cs="仿宋_GB2312" w:hint="eastAsia"/>
          <w:spacing w:val="-4"/>
        </w:rPr>
        <w:t>施工图设计文件</w:t>
      </w:r>
      <w:r>
        <w:rPr>
          <w:rFonts w:ascii="仿宋_GB2312" w:eastAsia="仿宋_GB2312" w:hAnsi="仿宋_GB2312" w:cs="仿宋_GB2312" w:hint="eastAsia"/>
        </w:rPr>
        <w:t>和政府</w:t>
      </w:r>
      <w:r>
        <w:rPr>
          <w:rFonts w:ascii="仿宋_GB2312" w:eastAsia="仿宋_GB2312" w:hAnsi="仿宋_GB2312" w:cs="仿宋_GB2312" w:hint="eastAsia"/>
          <w:lang w:eastAsia="zh-CN"/>
        </w:rPr>
        <w:t>的</w:t>
      </w:r>
      <w:r>
        <w:rPr>
          <w:rFonts w:ascii="仿宋_GB2312" w:eastAsia="仿宋_GB2312" w:hAnsi="仿宋_GB2312" w:cs="仿宋_GB2312" w:hint="eastAsia"/>
        </w:rPr>
        <w:t>相关技术要求，并经参建各方签字确认。</w:t>
      </w:r>
      <w:r>
        <w:rPr>
          <w:rFonts w:ascii="仿宋_GB2312" w:eastAsia="仿宋_GB2312" w:hAnsi="仿宋_GB2312" w:cs="仿宋_GB2312" w:hint="eastAsia"/>
          <w:spacing w:val="-4"/>
        </w:rPr>
        <w:t>质量安全监督</w:t>
      </w:r>
      <w:r>
        <w:rPr>
          <w:rFonts w:ascii="仿宋_GB2312" w:eastAsia="仿宋_GB2312" w:hAnsi="仿宋_GB2312" w:cs="仿宋_GB2312" w:hint="eastAsia"/>
          <w:spacing w:val="-4"/>
          <w:lang w:eastAsia="zh-CN"/>
        </w:rPr>
        <w:t>机构对</w:t>
      </w:r>
      <w:r>
        <w:rPr>
          <w:rFonts w:ascii="仿宋_GB2312" w:eastAsia="仿宋_GB2312" w:hAnsi="仿宋_GB2312" w:cs="仿宋_GB2312" w:hint="eastAsia"/>
          <w:spacing w:val="-4"/>
        </w:rPr>
        <w:t>建设单位组织</w:t>
      </w:r>
      <w:r>
        <w:rPr>
          <w:rFonts w:ascii="仿宋_GB2312" w:eastAsia="仿宋_GB2312" w:hAnsi="仿宋_GB2312" w:cs="仿宋_GB2312" w:hint="eastAsia"/>
          <w:spacing w:val="-4"/>
          <w:lang w:eastAsia="zh-CN"/>
        </w:rPr>
        <w:t>的</w:t>
      </w:r>
      <w:r>
        <w:rPr>
          <w:rFonts w:ascii="仿宋_GB2312" w:eastAsia="仿宋_GB2312" w:hAnsi="仿宋_GB2312" w:cs="仿宋_GB2312" w:hint="eastAsia"/>
          <w:spacing w:val="-4"/>
        </w:rPr>
        <w:t>竣工验收</w:t>
      </w:r>
      <w:r>
        <w:rPr>
          <w:rFonts w:ascii="仿宋_GB2312" w:eastAsia="仿宋_GB2312" w:hAnsi="仿宋_GB2312" w:cs="仿宋_GB2312" w:hint="eastAsia"/>
          <w:spacing w:val="-4"/>
          <w:lang w:eastAsia="zh-CN"/>
        </w:rPr>
        <w:t>进行监督，并对</w:t>
      </w:r>
      <w:r>
        <w:rPr>
          <w:rFonts w:ascii="仿宋_GB2312" w:eastAsia="仿宋_GB2312" w:hAnsi="仿宋_GB2312" w:cs="仿宋_GB2312" w:hint="eastAsia"/>
          <w:spacing w:val="-4"/>
        </w:rPr>
        <w:t>项目</w:t>
      </w:r>
      <w:r>
        <w:rPr>
          <w:rFonts w:ascii="仿宋_GB2312" w:eastAsia="仿宋_GB2312" w:hAnsi="仿宋_GB2312" w:cs="仿宋_GB2312" w:hint="eastAsia"/>
          <w:spacing w:val="-4"/>
          <w:lang w:eastAsia="zh-CN"/>
        </w:rPr>
        <w:t>实施装配式建筑情况出具意见</w:t>
      </w:r>
      <w:r>
        <w:rPr>
          <w:rFonts w:ascii="仿宋_GB2312" w:eastAsia="仿宋_GB2312" w:hAnsi="仿宋_GB2312" w:cs="仿宋_GB2312" w:hint="eastAsia"/>
          <w:spacing w:val="-4"/>
        </w:rPr>
        <w:t>。</w:t>
      </w:r>
    </w:p>
    <w:p w:rsidR="00E462BF" w:rsidRDefault="007B556E">
      <w:pPr>
        <w:tabs>
          <w:tab w:val="left" w:pos="2160"/>
          <w:tab w:val="left" w:pos="2925"/>
        </w:tabs>
        <w:spacing w:line="600" w:lineRule="exact"/>
        <w:ind w:firstLine="640"/>
        <w:jc w:val="both"/>
        <w:rPr>
          <w:rFonts w:ascii="仿宋_GB2312" w:eastAsia="仿宋_GB2312" w:hAnsi="仿宋_GB2312" w:cs="仿宋_GB2312"/>
        </w:rPr>
      </w:pPr>
      <w:r>
        <w:rPr>
          <w:rFonts w:ascii="仿宋_GB2312" w:eastAsia="仿宋_GB2312" w:hAnsi="仿宋_GB2312" w:cs="仿宋_GB2312" w:hint="eastAsia"/>
          <w:lang w:eastAsia="zh-CN"/>
        </w:rPr>
        <w:t>（十一）（违规处罚）</w:t>
      </w:r>
      <w:r>
        <w:rPr>
          <w:rFonts w:ascii="仿宋_GB2312" w:eastAsia="仿宋_GB2312" w:hAnsi="仿宋_GB2312" w:cs="仿宋_GB2312" w:hint="eastAsia"/>
          <w:lang w:eastAsia="zh-CN"/>
        </w:rPr>
        <w:t>对未按要求实施装配式建筑的，补助资金予以收回，容积率按平常计算，超出规定容积率的根据有关法律法规进行相应处罚。</w:t>
      </w:r>
      <w:r>
        <w:rPr>
          <w:rFonts w:ascii="仿宋_GB2312" w:eastAsia="仿宋_GB2312" w:hAnsi="仿宋_GB2312" w:cs="仿宋_GB2312" w:hint="eastAsia"/>
        </w:rPr>
        <w:t>政府主管部门除收回奖励面积外将依法保留对责任单位和责任人追究法律责任的权利，并按有关规定记入企业诚信档案</w:t>
      </w:r>
      <w:r>
        <w:rPr>
          <w:rFonts w:ascii="仿宋_GB2312" w:eastAsia="仿宋_GB2312" w:hAnsi="仿宋_GB2312" w:cs="仿宋_GB2312" w:hint="eastAsia"/>
          <w:lang w:eastAsia="zh-CN"/>
        </w:rPr>
        <w:t>。</w:t>
      </w:r>
    </w:p>
    <w:p w:rsidR="00E462BF" w:rsidRDefault="007B556E">
      <w:pPr>
        <w:numPr>
          <w:ilvl w:val="0"/>
          <w:numId w:val="1"/>
        </w:numPr>
        <w:tabs>
          <w:tab w:val="left" w:pos="2160"/>
          <w:tab w:val="left" w:pos="2925"/>
        </w:tabs>
        <w:spacing w:line="600" w:lineRule="exact"/>
        <w:ind w:leftChars="200" w:left="640"/>
        <w:jc w:val="both"/>
        <w:rPr>
          <w:rFonts w:ascii="黑体" w:eastAsia="黑体" w:hAnsi="黑体" w:cs="黑体"/>
          <w:lang w:eastAsia="zh-CN"/>
        </w:rPr>
      </w:pPr>
      <w:r>
        <w:rPr>
          <w:rFonts w:ascii="黑体" w:eastAsia="黑体" w:hAnsi="黑体" w:cs="黑体" w:hint="eastAsia"/>
          <w:lang w:eastAsia="zh-CN"/>
        </w:rPr>
        <w:t>附则</w:t>
      </w:r>
    </w:p>
    <w:p w:rsidR="00E462BF" w:rsidRDefault="007B556E">
      <w:pPr>
        <w:numPr>
          <w:ilvl w:val="0"/>
          <w:numId w:val="2"/>
        </w:numPr>
        <w:tabs>
          <w:tab w:val="left" w:pos="2160"/>
          <w:tab w:val="left" w:pos="2925"/>
        </w:tabs>
        <w:spacing w:line="600" w:lineRule="exact"/>
        <w:ind w:leftChars="200" w:left="640"/>
        <w:jc w:val="both"/>
        <w:rPr>
          <w:rFonts w:ascii="仿宋_GB2312" w:eastAsia="仿宋_GB2312" w:hAnsi="仿宋_GB2312" w:cs="仿宋_GB2312"/>
          <w:lang w:eastAsia="zh-CN"/>
        </w:rPr>
      </w:pPr>
      <w:r>
        <w:rPr>
          <w:rFonts w:ascii="仿宋_GB2312" w:eastAsia="仿宋_GB2312" w:hAnsi="仿宋_GB2312" w:cs="仿宋_GB2312" w:hint="eastAsia"/>
          <w:lang w:eastAsia="zh-CN"/>
        </w:rPr>
        <w:lastRenderedPageBreak/>
        <w:t>办法解释</w:t>
      </w:r>
    </w:p>
    <w:p w:rsidR="00E462BF" w:rsidRDefault="007B556E">
      <w:pPr>
        <w:tabs>
          <w:tab w:val="left" w:pos="2160"/>
          <w:tab w:val="left" w:pos="2925"/>
        </w:tabs>
        <w:spacing w:line="600" w:lineRule="exact"/>
        <w:ind w:leftChars="200" w:left="640"/>
        <w:jc w:val="both"/>
        <w:rPr>
          <w:rFonts w:ascii="仿宋_GB2312" w:eastAsia="仿宋_GB2312" w:hAnsi="仿宋_GB2312" w:cs="仿宋_GB2312"/>
          <w:lang w:eastAsia="zh-CN"/>
        </w:rPr>
      </w:pPr>
      <w:r>
        <w:rPr>
          <w:rFonts w:ascii="仿宋_GB2312" w:eastAsia="仿宋_GB2312" w:hAnsi="仿宋_GB2312" w:cs="仿宋_GB2312" w:hint="eastAsia"/>
          <w:lang w:eastAsia="zh-CN"/>
        </w:rPr>
        <w:t>本办法由管委会授权规划建设局负责解释。</w:t>
      </w:r>
    </w:p>
    <w:p w:rsidR="00E462BF" w:rsidRDefault="007B556E">
      <w:pPr>
        <w:numPr>
          <w:ilvl w:val="0"/>
          <w:numId w:val="2"/>
        </w:numPr>
        <w:tabs>
          <w:tab w:val="left" w:pos="2160"/>
          <w:tab w:val="left" w:pos="2925"/>
        </w:tabs>
        <w:spacing w:line="600" w:lineRule="exact"/>
        <w:ind w:leftChars="200" w:left="640"/>
        <w:jc w:val="both"/>
        <w:rPr>
          <w:rFonts w:ascii="仿宋_GB2312" w:eastAsia="仿宋_GB2312" w:hAnsi="仿宋_GB2312" w:cs="仿宋_GB2312"/>
          <w:lang w:eastAsia="zh-CN"/>
        </w:rPr>
      </w:pPr>
      <w:r>
        <w:rPr>
          <w:rFonts w:ascii="仿宋_GB2312" w:eastAsia="仿宋_GB2312" w:hAnsi="仿宋_GB2312" w:cs="仿宋_GB2312" w:hint="eastAsia"/>
          <w:lang w:eastAsia="zh-CN"/>
        </w:rPr>
        <w:t>实施时间</w:t>
      </w:r>
    </w:p>
    <w:p w:rsidR="00E462BF" w:rsidRDefault="007B556E">
      <w:pPr>
        <w:tabs>
          <w:tab w:val="left" w:pos="2160"/>
          <w:tab w:val="left" w:pos="2925"/>
        </w:tabs>
        <w:spacing w:line="600" w:lineRule="exact"/>
        <w:ind w:leftChars="200" w:left="640"/>
        <w:jc w:val="both"/>
        <w:rPr>
          <w:rFonts w:ascii="仿宋_GB2312" w:eastAsia="仿宋_GB2312" w:hAnsi="仿宋_GB2312" w:cs="仿宋_GB2312"/>
          <w:lang w:eastAsia="zh-CN"/>
        </w:rPr>
      </w:pPr>
      <w:r>
        <w:rPr>
          <w:rFonts w:ascii="仿宋_GB2312" w:eastAsia="仿宋_GB2312" w:hAnsi="仿宋_GB2312" w:cs="仿宋_GB2312" w:hint="eastAsia"/>
          <w:lang w:eastAsia="zh-CN"/>
        </w:rPr>
        <w:t>本办法自颁布之日起实施，有效期两年。</w:t>
      </w:r>
    </w:p>
    <w:p w:rsidR="00E462BF" w:rsidRDefault="007B556E">
      <w:pPr>
        <w:spacing w:line="600" w:lineRule="exact"/>
        <w:rPr>
          <w:rFonts w:ascii="宋体" w:eastAsia="宋体" w:hAnsi="宋体" w:cs="PMingLiU"/>
          <w:lang w:eastAsia="zh-CN"/>
        </w:rPr>
      </w:pPr>
      <w:r>
        <w:rPr>
          <w:rFonts w:ascii="宋体" w:eastAsia="宋体" w:hAnsi="宋体" w:cs="PMingLiU" w:hint="eastAsia"/>
          <w:lang w:eastAsia="zh-CN"/>
        </w:rPr>
        <w:t xml:space="preserve">               </w:t>
      </w:r>
    </w:p>
    <w:p w:rsidR="00E462BF" w:rsidRDefault="00E462BF"/>
    <w:sectPr w:rsidR="00E462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56E" w:rsidRDefault="007B556E" w:rsidP="00FF6DC3">
      <w:r>
        <w:separator/>
      </w:r>
    </w:p>
  </w:endnote>
  <w:endnote w:type="continuationSeparator" w:id="0">
    <w:p w:rsidR="007B556E" w:rsidRDefault="007B556E" w:rsidP="00FF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華康儷楷書(P)">
    <w:altName w:val="Microsoft JhengHei"/>
    <w:charset w:val="88"/>
    <w:family w:val="auto"/>
    <w:pitch w:val="default"/>
    <w:sig w:usb0="00000000" w:usb1="00000000" w:usb2="00000010" w:usb3="00000000" w:csb0="0010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B0604030504040204"/>
    <w:charset w:val="88"/>
    <w:family w:val="roman"/>
    <w:pitch w:val="default"/>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56E" w:rsidRDefault="007B556E" w:rsidP="00FF6DC3">
      <w:r>
        <w:separator/>
      </w:r>
    </w:p>
  </w:footnote>
  <w:footnote w:type="continuationSeparator" w:id="0">
    <w:p w:rsidR="007B556E" w:rsidRDefault="007B556E" w:rsidP="00FF6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133E1"/>
    <w:multiLevelType w:val="singleLevel"/>
    <w:tmpl w:val="591133E1"/>
    <w:lvl w:ilvl="0">
      <w:start w:val="5"/>
      <w:numFmt w:val="chineseCounting"/>
      <w:suff w:val="nothing"/>
      <w:lvlText w:val="%1、"/>
      <w:lvlJc w:val="left"/>
    </w:lvl>
  </w:abstractNum>
  <w:abstractNum w:abstractNumId="1" w15:restartNumberingAfterBreak="0">
    <w:nsid w:val="59113412"/>
    <w:multiLevelType w:val="singleLevel"/>
    <w:tmpl w:val="59113412"/>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01F64"/>
    <w:rsid w:val="007B556E"/>
    <w:rsid w:val="00E462BF"/>
    <w:rsid w:val="00FF6DC3"/>
    <w:rsid w:val="30501F64"/>
    <w:rsid w:val="3B154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945B8A-9EBD-4AF0-AC7D-96CDDF12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華康儷楷書(P)"/>
      <w:kern w:val="2"/>
      <w:sz w:val="32"/>
      <w:szCs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tyle>
  <w:style w:type="paragraph" w:styleId="a4">
    <w:name w:val="Normal (Web)"/>
    <w:basedOn w:val="a"/>
    <w:pPr>
      <w:spacing w:before="100" w:beforeAutospacing="1" w:after="100" w:afterAutospacing="1"/>
    </w:pPr>
    <w:rPr>
      <w:rFonts w:cs="Times New Roman"/>
      <w:kern w:val="0"/>
      <w:sz w:val="24"/>
      <w:lang w:eastAsia="zh-CN"/>
    </w:rPr>
  </w:style>
  <w:style w:type="character" w:styleId="a5">
    <w:name w:val="FollowedHyperlink"/>
    <w:basedOn w:val="a0"/>
    <w:rPr>
      <w:color w:val="800080"/>
      <w:u w:val="single"/>
    </w:rPr>
  </w:style>
  <w:style w:type="character" w:styleId="a6">
    <w:name w:val="Hyperlink"/>
    <w:basedOn w:val="a0"/>
    <w:rPr>
      <w:color w:val="0000FF"/>
      <w:u w:val="single"/>
    </w:rPr>
  </w:style>
  <w:style w:type="character" w:styleId="a7">
    <w:name w:val="annotation reference"/>
    <w:basedOn w:val="a0"/>
    <w:rPr>
      <w:sz w:val="21"/>
      <w:szCs w:val="21"/>
    </w:rPr>
  </w:style>
  <w:style w:type="paragraph" w:styleId="a8">
    <w:name w:val="Balloon Text"/>
    <w:basedOn w:val="a"/>
    <w:link w:val="a9"/>
    <w:rsid w:val="00FF6DC3"/>
    <w:rPr>
      <w:sz w:val="18"/>
      <w:szCs w:val="18"/>
    </w:rPr>
  </w:style>
  <w:style w:type="character" w:customStyle="1" w:styleId="a9">
    <w:name w:val="批注框文本 字符"/>
    <w:basedOn w:val="a0"/>
    <w:link w:val="a8"/>
    <w:rsid w:val="00FF6DC3"/>
    <w:rPr>
      <w:rFonts w:eastAsia="華康儷楷書(P)"/>
      <w:kern w:val="2"/>
      <w:sz w:val="18"/>
      <w:szCs w:val="18"/>
      <w:lang w:eastAsia="zh-TW"/>
    </w:rPr>
  </w:style>
  <w:style w:type="paragraph" w:styleId="aa">
    <w:name w:val="header"/>
    <w:basedOn w:val="a"/>
    <w:link w:val="ab"/>
    <w:rsid w:val="00FF6DC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FF6DC3"/>
    <w:rPr>
      <w:rFonts w:eastAsia="華康儷楷書(P)"/>
      <w:kern w:val="2"/>
      <w:sz w:val="18"/>
      <w:szCs w:val="18"/>
      <w:lang w:eastAsia="zh-TW"/>
    </w:rPr>
  </w:style>
  <w:style w:type="paragraph" w:styleId="ac">
    <w:name w:val="footer"/>
    <w:basedOn w:val="a"/>
    <w:link w:val="ad"/>
    <w:rsid w:val="00FF6DC3"/>
    <w:pPr>
      <w:tabs>
        <w:tab w:val="center" w:pos="4153"/>
        <w:tab w:val="right" w:pos="8306"/>
      </w:tabs>
      <w:snapToGrid w:val="0"/>
    </w:pPr>
    <w:rPr>
      <w:sz w:val="18"/>
      <w:szCs w:val="18"/>
    </w:rPr>
  </w:style>
  <w:style w:type="character" w:customStyle="1" w:styleId="ad">
    <w:name w:val="页脚 字符"/>
    <w:basedOn w:val="a0"/>
    <w:link w:val="ac"/>
    <w:rsid w:val="00FF6DC3"/>
    <w:rPr>
      <w:rFonts w:eastAsia="華康儷楷書(P)"/>
      <w:kern w:val="2"/>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漳州招商局经济技术开发区装配式</dc:title>
  <dc:creator>郑怡芗</dc:creator>
  <cp:lastModifiedBy>李娟</cp:lastModifiedBy>
  <cp:revision>2</cp:revision>
  <dcterms:created xsi:type="dcterms:W3CDTF">2017-10-30T02:51:00Z</dcterms:created>
  <dcterms:modified xsi:type="dcterms:W3CDTF">2017-10-30T03:17:00Z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