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F16E9"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color w:val="6A6A6A"/>
          <w:sz w:val="23"/>
          <w:szCs w:val="23"/>
        </w:rPr>
      </w:pPr>
      <w:r>
        <w:rPr>
          <w:rFonts w:ascii="微软雅黑" w:eastAsia="微软雅黑" w:hAnsi="微软雅黑" w:hint="eastAsia"/>
          <w:color w:val="6A6A6A"/>
          <w:sz w:val="23"/>
          <w:szCs w:val="23"/>
        </w:rPr>
        <w:t>各县区（开发区）党（工）委组织部,政府人力资源和社会保障局、教育局、科技局、公安局、财政局、卫生计生局、税务局,各大企业,各高等院校、科研院所:</w:t>
      </w:r>
      <w:r>
        <w:rPr>
          <w:rFonts w:ascii="微软雅黑" w:eastAsia="微软雅黑" w:hAnsi="微软雅黑" w:hint="eastAsia"/>
          <w:color w:val="6A6A6A"/>
          <w:sz w:val="23"/>
          <w:szCs w:val="23"/>
        </w:rPr>
        <w:br/>
        <w:t xml:space="preserve">　　现将《关于加快推进人才国际化的实施意见》印发给你们,请结合实际,认真抓好贯彻落实。</w:t>
      </w:r>
    </w:p>
    <w:p w14:paraId="2F9EB7FF"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p>
    <w:p w14:paraId="770572D2" w14:textId="77777777" w:rsidR="007B1F76" w:rsidRDefault="007B1F76" w:rsidP="007B1F76">
      <w:pPr>
        <w:pStyle w:val="a7"/>
        <w:shd w:val="clear" w:color="auto" w:fill="FFFFFF"/>
        <w:spacing w:before="0" w:beforeAutospacing="0" w:after="0" w:afterAutospacing="0" w:line="375" w:lineRule="atLeast"/>
        <w:jc w:val="righ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中共临沂市委组织部       临沂市人力资源和社会保障局    </w:t>
      </w:r>
      <w:r>
        <w:rPr>
          <w:rFonts w:ascii="微软雅黑" w:eastAsia="微软雅黑" w:hAnsi="微软雅黑" w:hint="eastAsia"/>
          <w:color w:val="6A6A6A"/>
          <w:sz w:val="23"/>
          <w:szCs w:val="23"/>
        </w:rPr>
        <w:br/>
        <w:t xml:space="preserve">　　临沂市教育局                      临沂市科学技术局         </w:t>
      </w:r>
      <w:r>
        <w:rPr>
          <w:rFonts w:ascii="微软雅黑" w:eastAsia="微软雅黑" w:hAnsi="微软雅黑" w:hint="eastAsia"/>
          <w:color w:val="6A6A6A"/>
          <w:sz w:val="23"/>
          <w:szCs w:val="23"/>
        </w:rPr>
        <w:br/>
        <w:t xml:space="preserve">　　临沂市公安局                          临沂市财政局            </w:t>
      </w:r>
      <w:r>
        <w:rPr>
          <w:rFonts w:ascii="微软雅黑" w:eastAsia="微软雅黑" w:hAnsi="微软雅黑" w:hint="eastAsia"/>
          <w:color w:val="6A6A6A"/>
          <w:sz w:val="23"/>
          <w:szCs w:val="23"/>
        </w:rPr>
        <w:br/>
        <w:t xml:space="preserve">　　临沂市卫生和计划生育委员会    国家税务总局临沂市税务局    </w:t>
      </w:r>
      <w:r>
        <w:rPr>
          <w:rFonts w:ascii="微软雅黑" w:eastAsia="微软雅黑" w:hAnsi="微软雅黑" w:hint="eastAsia"/>
          <w:color w:val="6A6A6A"/>
          <w:sz w:val="23"/>
          <w:szCs w:val="23"/>
        </w:rPr>
        <w:br/>
        <w:t xml:space="preserve">　　2018年12月4日       </w:t>
      </w:r>
    </w:p>
    <w:p w14:paraId="2712E38B"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p>
    <w:p w14:paraId="1AB00BB6"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（此件主动公开）</w:t>
      </w:r>
      <w:r>
        <w:rPr>
          <w:rFonts w:ascii="微软雅黑" w:eastAsia="微软雅黑" w:hAnsi="微软雅黑" w:hint="eastAsia"/>
          <w:color w:val="6A6A6A"/>
          <w:sz w:val="23"/>
          <w:szCs w:val="23"/>
        </w:rPr>
        <w:br/>
        <w:t xml:space="preserve">　　（联系单位:专业技术人员管理处）</w:t>
      </w:r>
    </w:p>
    <w:p w14:paraId="6EBE1224"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p>
    <w:p w14:paraId="0CCAE4CB" w14:textId="77777777" w:rsidR="007B1F76" w:rsidRDefault="007B1F76" w:rsidP="007B1F76">
      <w:pPr>
        <w:pStyle w:val="a7"/>
        <w:shd w:val="clear" w:color="auto" w:fill="FFFFFF"/>
        <w:spacing w:before="0" w:beforeAutospacing="0" w:after="0" w:afterAutospacing="0" w:line="375" w:lineRule="atLeast"/>
        <w:jc w:val="center"/>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w:t>
      </w:r>
      <w:r>
        <w:rPr>
          <w:rFonts w:ascii="微软雅黑" w:eastAsia="微软雅黑" w:hAnsi="微软雅黑" w:hint="eastAsia"/>
          <w:color w:val="6A6A6A"/>
          <w:sz w:val="30"/>
          <w:szCs w:val="30"/>
        </w:rPr>
        <w:t xml:space="preserve">　关于加快推进人才国际化的实施意见</w:t>
      </w:r>
    </w:p>
    <w:p w14:paraId="5EB80102"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p>
    <w:p w14:paraId="540B8B95" w14:textId="77777777" w:rsidR="007B1F76" w:rsidRDefault="007B1F76" w:rsidP="007B1F76">
      <w:pPr>
        <w:pStyle w:val="a7"/>
        <w:shd w:val="clear" w:color="auto" w:fill="FFFFFF"/>
        <w:spacing w:before="0" w:beforeAutospacing="0" w:after="0" w:afterAutospacing="0" w:line="375" w:lineRule="atLeast"/>
        <w:rPr>
          <w:rFonts w:ascii="微软雅黑" w:eastAsia="微软雅黑" w:hAnsi="微软雅黑" w:hint="eastAsia"/>
          <w:color w:val="6A6A6A"/>
          <w:sz w:val="23"/>
          <w:szCs w:val="23"/>
        </w:rPr>
      </w:pPr>
      <w:r>
        <w:rPr>
          <w:rFonts w:ascii="微软雅黑" w:eastAsia="微软雅黑" w:hAnsi="微软雅黑" w:hint="eastAsia"/>
          <w:color w:val="6A6A6A"/>
          <w:sz w:val="23"/>
          <w:szCs w:val="23"/>
        </w:rPr>
        <w:t xml:space="preserve">　　为充分开发利用国际国内两类人才资源，打造一支具有全球化视野、具备国际竞争力的高素质人才队伍,努力形成“人才引领创新驱动”的良好局面，根据《中共临沂市委关于深化人才发展体制机制改革的实施意见》(临发〔2016〕32号)《中共临沂市委临沂市人民政府关于做好人才支撑新旧动能转换工作的意见》(临发〔2018〕12号)和《关于印发加快推进人才国际化若干措施的通知》(鲁人社发〔2018〕49号)等文件精神,结合工作实际,制定本意见。</w:t>
      </w:r>
      <w:r>
        <w:rPr>
          <w:rFonts w:ascii="微软雅黑" w:eastAsia="微软雅黑" w:hAnsi="微软雅黑" w:hint="eastAsia"/>
          <w:color w:val="6A6A6A"/>
          <w:sz w:val="23"/>
          <w:szCs w:val="23"/>
        </w:rPr>
        <w:br/>
      </w:r>
      <w:r>
        <w:rPr>
          <w:rFonts w:ascii="微软雅黑" w:eastAsia="微软雅黑" w:hAnsi="微软雅黑" w:hint="eastAsia"/>
          <w:color w:val="6A6A6A"/>
          <w:sz w:val="23"/>
          <w:szCs w:val="23"/>
        </w:rPr>
        <w:lastRenderedPageBreak/>
        <w:t xml:space="preserve">　　一、指导思想</w:t>
      </w:r>
      <w:r>
        <w:rPr>
          <w:rFonts w:ascii="微软雅黑" w:eastAsia="微软雅黑" w:hAnsi="微软雅黑" w:hint="eastAsia"/>
          <w:color w:val="6A6A6A"/>
          <w:sz w:val="23"/>
          <w:szCs w:val="23"/>
        </w:rPr>
        <w:br/>
        <w:t xml:space="preserve">　　全面贯彻习近平新时代中国特色社会主义思想和党的十九大精神,坚持党管人才原则，注重全球引才与推动本土人才国际化并重，创新开放包容的人才国际化体制机制,最大限度激发人才创新创造创业活力，为加快推进社会主义“大美新”临沂建设、实现“走在前列”目标，提供更加广泛有力的人才支持。</w:t>
      </w:r>
      <w:r>
        <w:rPr>
          <w:rFonts w:ascii="微软雅黑" w:eastAsia="微软雅黑" w:hAnsi="微软雅黑" w:hint="eastAsia"/>
          <w:color w:val="6A6A6A"/>
          <w:sz w:val="23"/>
          <w:szCs w:val="23"/>
        </w:rPr>
        <w:br/>
        <w:t xml:space="preserve">　　二、主要目标</w:t>
      </w:r>
      <w:r>
        <w:rPr>
          <w:rFonts w:ascii="微软雅黑" w:eastAsia="微软雅黑" w:hAnsi="微软雅黑" w:hint="eastAsia"/>
          <w:color w:val="6A6A6A"/>
          <w:sz w:val="23"/>
          <w:szCs w:val="23"/>
        </w:rPr>
        <w:br/>
        <w:t xml:space="preserve">　　到2023年，力争实现海外高层次人才引进数量、省级以上重点人才工程支持的高层次人才以及高技能人才培育数量实现大幅提升，临沂市国际化人才引育机制更加完善，国际人才往来交流更加深入，国际化的人才服务和居住环境更加便利。</w:t>
      </w:r>
      <w:r>
        <w:rPr>
          <w:rFonts w:ascii="微软雅黑" w:eastAsia="微软雅黑" w:hAnsi="微软雅黑" w:hint="eastAsia"/>
          <w:color w:val="6A6A6A"/>
          <w:sz w:val="23"/>
          <w:szCs w:val="23"/>
        </w:rPr>
        <w:br/>
        <w:t xml:space="preserve">　　三、主要措施</w:t>
      </w:r>
      <w:r>
        <w:rPr>
          <w:rFonts w:ascii="微软雅黑" w:eastAsia="微软雅黑" w:hAnsi="微软雅黑" w:hint="eastAsia"/>
          <w:color w:val="6A6A6A"/>
          <w:sz w:val="23"/>
          <w:szCs w:val="23"/>
        </w:rPr>
        <w:br/>
        <w:t xml:space="preserve">　　（一）加快建立国际高端人才引进机制</w:t>
      </w:r>
      <w:r>
        <w:rPr>
          <w:rFonts w:ascii="微软雅黑" w:eastAsia="微软雅黑" w:hAnsi="微软雅黑" w:hint="eastAsia"/>
          <w:color w:val="6A6A6A"/>
          <w:sz w:val="23"/>
          <w:szCs w:val="23"/>
        </w:rPr>
        <w:br/>
        <w:t xml:space="preserve">　　1.加大国际顶尖人才团队引进力度。立足“8+8”新旧动能转换重点产业升级发展需要，围绕新技术、新产业、新业态、新模式，聚焦产业智慧化、智慧产业化、跨界融合化、品牌高端化发展需要，按照“领军人才+创新团队+优质项目”模式，面向海内外引进顶尖人才团队，采取“一事一议”方式，最高给予1 亿元的综合资助。积极申报“外专双百计划”引才工程和“省级高端外国专家项目”“一带一路”等引智专项,引进国际知名的高层次外国专家和团队,对来临沂工作的高层次外国专家给予工薪、旅费等方面资助。引进的外籍科学家可领衔实施市科技项目、申报市科学技术奖、创办科技型企业、开展创新活动,享受市内科研活动相同的政策支持。</w:t>
      </w:r>
      <w:r>
        <w:rPr>
          <w:rFonts w:ascii="微软雅黑" w:eastAsia="微软雅黑" w:hAnsi="微软雅黑" w:hint="eastAsia"/>
          <w:color w:val="6A6A6A"/>
          <w:sz w:val="23"/>
          <w:szCs w:val="23"/>
        </w:rPr>
        <w:br/>
        <w:t xml:space="preserve">　　2.优化国际高端人才引进政策。将我市用人单位在海外离岸研发中心和孵化基地全职聘用的高层次人才视同在临沂工作,允许其单独申报市级重点人才工程。事</w:t>
      </w:r>
      <w:r>
        <w:rPr>
          <w:rFonts w:ascii="微软雅黑" w:eastAsia="微软雅黑" w:hAnsi="微软雅黑" w:hint="eastAsia"/>
          <w:color w:val="6A6A6A"/>
          <w:sz w:val="23"/>
          <w:szCs w:val="23"/>
        </w:rPr>
        <w:lastRenderedPageBreak/>
        <w:t>业单位引进海内外高层次急需紧缺人才,可采取专家评议、组织考察的方式,办理聘用手续,相应岗位没有空缺的,可突破岗位总量、最高等级和结构比例限制,使用特设岗位予以聘用。加大市外、海外人才柔性引进力度,引进的退休“两院”院士和外籍发达国家院士,符合条件的可纳入聘任院士管理,并给予相应待遇。省外引进的专业技术二级岗位人才,按程序报省后，直接认定聘用到专业技术二级岗位。探索与国际知名人力资源机构和大数据机构合作,绘制“临沂高端人才全球分布和流动趋势图”,动态了解和掌握高端人才分布流动情况,定期发布新旧动能转换重点产业高端人才需求状况,实现人才供给与人才需求的有效对接,提升人才引进的精准化。</w:t>
      </w:r>
      <w:r>
        <w:rPr>
          <w:rFonts w:ascii="微软雅黑" w:eastAsia="微软雅黑" w:hAnsi="微软雅黑" w:hint="eastAsia"/>
          <w:color w:val="6A6A6A"/>
          <w:sz w:val="23"/>
          <w:szCs w:val="23"/>
        </w:rPr>
        <w:br/>
        <w:t xml:space="preserve">　　3.拓宽优秀青年人才引进渠道。各有关部门(单位)要了解掌握临沂籍或曾在临沂学习、工作过的各领域标志性人才,通过定期联系走访,吸引在外人才回临沂创新创业。加强与海外留学生组织、驻外使馆等联系，发挥我市留学人员协会、国际人才交流协会等群团组织优势,密切与海内外人才的联系。积极拓展海外引才工作网络，大力引进海外青年人才。支持高校、科研院所、企业和创业园区引进海外知名高校毕业的研究生，符合条件的优先推荐申报“泰山学者青年专家计划”，遴选一批发展潜力大、市场前景好的留学人员创业创新项目，对获选“留学人员来鲁创业启动支持计划”的留创项目，在省里给予资金支持的基础上，再给予20万元的配套资金支持。</w:t>
      </w:r>
      <w:r>
        <w:rPr>
          <w:rFonts w:ascii="微软雅黑" w:eastAsia="微软雅黑" w:hAnsi="微软雅黑" w:hint="eastAsia"/>
          <w:color w:val="6A6A6A"/>
          <w:sz w:val="23"/>
          <w:szCs w:val="23"/>
        </w:rPr>
        <w:br/>
        <w:t xml:space="preserve">　　4.发挥市场机制精准高效引才。充分利用“中国山东海内外高端人才交流会”、通过线上线下多种渠道,提高人才项目对接精准度,建立海内外人才常态化引介平台。通过“山东——名校人才直通车”等省级引才工作品牌效应，积极赴海内外知名高校对接高精尖缺人才。打造我市“临沂——名校人才直通车”等引才活动。各县区、大企业、高等院校、科研院所要充分利用活动平台,积极组织参与,</w:t>
      </w:r>
      <w:r>
        <w:rPr>
          <w:rFonts w:ascii="微软雅黑" w:eastAsia="微软雅黑" w:hAnsi="微软雅黑" w:hint="eastAsia"/>
          <w:color w:val="6A6A6A"/>
          <w:sz w:val="23"/>
          <w:szCs w:val="23"/>
        </w:rPr>
        <w:lastRenderedPageBreak/>
        <w:t>发挥主体作用,放大活动成效。</w:t>
      </w:r>
      <w:r>
        <w:rPr>
          <w:rFonts w:ascii="微软雅黑" w:eastAsia="微软雅黑" w:hAnsi="微软雅黑" w:hint="eastAsia"/>
          <w:color w:val="6A6A6A"/>
          <w:sz w:val="23"/>
          <w:szCs w:val="23"/>
        </w:rPr>
        <w:br/>
        <w:t xml:space="preserve">　　5.深化国际化人才引进平台建设。鼓励设立临沂市海外招才引智工作站，根据引才荐才情况，对年度评估为优秀和合格的工作站，按规定给予工作经费支持。规划建设人力资源服务产业园，对认定为国家级和省、市级人力资源服务产业园的，分别给予 200 万元、100 万元、50 万元一次性奖励。鼓励产业园引进国内外知名猎头机构、国际人才中介服务机构、外国专家组织、技术转移中心。鼓励企事业单位到海外设立研发中心、科技企业孵化器、技术转移中心和产业化基地，延伸海外人才工作阵地，就地吸引使用外国籍人才。</w:t>
      </w:r>
      <w:r>
        <w:rPr>
          <w:rFonts w:ascii="微软雅黑" w:eastAsia="微软雅黑" w:hAnsi="微软雅黑" w:hint="eastAsia"/>
          <w:color w:val="6A6A6A"/>
          <w:sz w:val="23"/>
          <w:szCs w:val="23"/>
        </w:rPr>
        <w:br/>
        <w:t xml:space="preserve">　　（二）加快本土人才的国际化培养</w:t>
      </w:r>
      <w:r>
        <w:rPr>
          <w:rFonts w:ascii="微软雅黑" w:eastAsia="微软雅黑" w:hAnsi="微软雅黑" w:hint="eastAsia"/>
          <w:color w:val="6A6A6A"/>
          <w:sz w:val="23"/>
          <w:szCs w:val="23"/>
        </w:rPr>
        <w:br/>
        <w:t xml:space="preserve">　　6.完善国际化人才培养要素。实施“新旧动能转换出国培训工程”,围绕新旧动能转换重点产业,对涉及经济转型、产业升级、科技攻关、成果转化等项目给予重点支持。将人才国际化有关内容纳入专业技术人员继续教育体系,提升专业技术人才国际化意识。坚持“走出去”与“请进来”相结合,引导支持县区和企事业单位在国内外设立引才机构、中介组织，定期组织海内外高层次人才论坛，吸引更多发达国家院士、诺贝尔奖获得者来临沂授课。加强国际化课程建设,充分发挥具有海外学习经历的导师及团队开展英文授课的积极性,培育双语和全英文研究生优质课程和教学案例库。鼓励人才参加各类国际技能竞赛，在国家级、世界级职业技能竞赛中取得优异成绩的选手，最高分别给予5万元、10万元奖励。</w:t>
      </w:r>
      <w:r>
        <w:rPr>
          <w:rFonts w:ascii="微软雅黑" w:eastAsia="微软雅黑" w:hAnsi="微软雅黑" w:hint="eastAsia"/>
          <w:color w:val="6A6A6A"/>
          <w:sz w:val="23"/>
          <w:szCs w:val="23"/>
        </w:rPr>
        <w:br/>
        <w:t xml:space="preserve">　　7.创新国际化人才培训模式。根据省里部署，从我市齐鲁首席技师、山东省有突出贡献的技师、山东省技术能手等高技能人才中选拔一批人才,分期分批分项目参加省里组织的技能研修学习。学习借鉴世界先进职业教育标准和理念,深入实施企业新型学徒制培训,提升高技能人才国际化水平。进一步加大我市企业人才出国</w:t>
      </w:r>
      <w:r>
        <w:rPr>
          <w:rFonts w:ascii="微软雅黑" w:eastAsia="微软雅黑" w:hAnsi="微软雅黑" w:hint="eastAsia"/>
          <w:color w:val="6A6A6A"/>
          <w:sz w:val="23"/>
          <w:szCs w:val="23"/>
        </w:rPr>
        <w:lastRenderedPageBreak/>
        <w:t>(境)培训力度,探索实施民营企业人员出国(境)培训项目。与国内著名高校联合建立党政人才培训基地或联合开展专题培训,着力提升各级党政人才的国际化素质。</w:t>
      </w:r>
      <w:r>
        <w:rPr>
          <w:rFonts w:ascii="微软雅黑" w:eastAsia="微软雅黑" w:hAnsi="微软雅黑" w:hint="eastAsia"/>
          <w:color w:val="6A6A6A"/>
          <w:sz w:val="23"/>
          <w:szCs w:val="23"/>
        </w:rPr>
        <w:br/>
        <w:t xml:space="preserve">　　8.推动国际化人才加强交流。鼓励企业与省内外高等院校深入合作，采取委托培养、定向资助等方式，支持在校学生出国研修，重点资助有突出创新成果、在本领域重要国际学术会议上参加口头报告或墙报交流的博士研究生。每年资助部分高学历、副高级以上职称、科技工作者、医务工作者以及企业经营管理人员中的优秀青年人才，选派到国（境）外知名高校、科研院所、医疗院所、企业等研修培训或参加国际学术交流会议。围绕“8+8”新旧动能转换重点产业举办外国专家讲座、国际论坛或学术会议,同时组织人才、技术、产品交流或展示活动,全面提升我市相关专业领域人才国际化水平。每年遴选10名左右外语好、业务强的优秀中青年党政人才,到国外政府机构、国际组织和大型跨国公司进行交流培训或合作研究。</w:t>
      </w:r>
      <w:r>
        <w:rPr>
          <w:rFonts w:ascii="微软雅黑" w:eastAsia="微软雅黑" w:hAnsi="微软雅黑" w:hint="eastAsia"/>
          <w:color w:val="6A6A6A"/>
          <w:sz w:val="23"/>
          <w:szCs w:val="23"/>
        </w:rPr>
        <w:br/>
        <w:t xml:space="preserve">　　9.丰富国际化人才培养平台。加强世界技能人才培养标准研究与对接,开展世界技能大赛和中国技能大赛等省级以上竞赛项目的研究和成果转化,积极争创国际领先、国内一流的技能大赛省级集训基地,搭建高技能人才参与国际竞争的平台。创新研究生培养模式,扩大研究生教育开放度,鼓励学校依托优势学科举办高水平国际学术会议和研究生教育国际学术论坛等,搭建研究生教育国际化学术交流平台。鼓励引导我市企业建立海外培训基地,对为我市人才国际化培训做出突出贡献的基地,命名为“临沂市新旧动能转换人才国际化培训基地”。</w:t>
      </w:r>
      <w:r>
        <w:rPr>
          <w:rFonts w:ascii="微软雅黑" w:eastAsia="微软雅黑" w:hAnsi="微软雅黑" w:hint="eastAsia"/>
          <w:color w:val="6A6A6A"/>
          <w:sz w:val="23"/>
          <w:szCs w:val="23"/>
        </w:rPr>
        <w:br/>
        <w:t xml:space="preserve">　　（三）探索建立国际化人才评价与激励机制</w:t>
      </w:r>
      <w:r>
        <w:rPr>
          <w:rFonts w:ascii="微软雅黑" w:eastAsia="微软雅黑" w:hAnsi="微软雅黑" w:hint="eastAsia"/>
          <w:color w:val="6A6A6A"/>
          <w:sz w:val="23"/>
          <w:szCs w:val="23"/>
        </w:rPr>
        <w:br/>
        <w:t xml:space="preserve">　　10.畅通国际化人才评价认证“绿色通道”。根据省里建立的多元化人才评价体系,在基础研究领域引入国际同行评价,将国际标准和水平作为衡量高层次人才成果的重要依据。应用研究、技术开发和企业经营管理人才,坚持市场发现、市场评</w:t>
      </w:r>
      <w:r>
        <w:rPr>
          <w:rFonts w:ascii="微软雅黑" w:eastAsia="微软雅黑" w:hAnsi="微软雅黑" w:hint="eastAsia"/>
          <w:color w:val="6A6A6A"/>
          <w:sz w:val="23"/>
          <w:szCs w:val="23"/>
        </w:rPr>
        <w:lastRenderedPageBreak/>
        <w:t>价、市场认可,把人才享受的薪酬待遇、创造的市场价值、获得的创业投资等作为人才评价的重要依据。在我市就业的港澳台专业技术人才,以及持有外国人永久居留身份证或各地颁发的海外高层次人才居住证的外籍人员,可按规定参加职称评审。从海外引进的高层次人才,不受本人国内任职和年限限制,按照业绩、能力、水平可直接申报相应的专业技术职务资格,其海外工作经历、学术和专业技术贡献,作为参评依据。推进职业资格与职称制度有效衔接。探索建立国际职业资格单边认证制度。按照省部署,推动与港澳台地区、部分发达国家实现职业资格互认,简化资格认证手续。鼓励港澳台人才考取国内职业资格证书。</w:t>
      </w:r>
      <w:r>
        <w:rPr>
          <w:rFonts w:ascii="微软雅黑" w:eastAsia="微软雅黑" w:hAnsi="微软雅黑" w:hint="eastAsia"/>
          <w:color w:val="6A6A6A"/>
          <w:sz w:val="23"/>
          <w:szCs w:val="23"/>
        </w:rPr>
        <w:br/>
        <w:t xml:space="preserve">　　11.建立一流人才一流待遇激励机制。国有企业事业单位对高层次人才及其工作团队,经批准可实行项目工资、协议工资和年薪制等灵活多样的分配方式,参考市场价位合理确定薪酬水平,对高层次人才实行科研成果转化股权、期权和分红激励。事业单位高层次人才经批准实行协议工资和年薪制的,其薪酬总额在绩效工资总量内单列,相应增加单位当年绩效工资总量;科研项目临时聘用的高层次人才和急需紧缺人才,可实行项目工资,从项目经费中列支。引进培育的国际化人才，符合相关条件的，参照市“人才新政22条”以及配套操作细则，享受住房保障、编制管理、职称评审、岗位聘用等有关规定。鼓励有条件的县区对全职引进的全日制博士和硕士毕业生发放安家和生活补贴。</w:t>
      </w:r>
      <w:r>
        <w:rPr>
          <w:rFonts w:ascii="微软雅黑" w:eastAsia="微软雅黑" w:hAnsi="微软雅黑" w:hint="eastAsia"/>
          <w:color w:val="6A6A6A"/>
          <w:sz w:val="23"/>
          <w:szCs w:val="23"/>
        </w:rPr>
        <w:br/>
        <w:t xml:space="preserve">　　12.创新完善税收激励方式。企业引进高层次人才所支付的一次性住房补贴、安家补助、科研启动经费等费用,可按规定在计算企业所得税时扣除。对在新旧动能转换重点产业进行重大科技成果转化的领军人才和团队,以股份或者出资比例等股权形式给予个人奖励的,可按规定暂不征收个人所得税,递延至转让该股权时征收个人所得税。</w:t>
      </w:r>
      <w:r>
        <w:rPr>
          <w:rFonts w:ascii="微软雅黑" w:eastAsia="微软雅黑" w:hAnsi="微软雅黑" w:hint="eastAsia"/>
          <w:color w:val="6A6A6A"/>
          <w:sz w:val="23"/>
          <w:szCs w:val="23"/>
        </w:rPr>
        <w:br/>
      </w:r>
      <w:r>
        <w:rPr>
          <w:rFonts w:ascii="微软雅黑" w:eastAsia="微软雅黑" w:hAnsi="微软雅黑" w:hint="eastAsia"/>
          <w:color w:val="6A6A6A"/>
          <w:sz w:val="23"/>
          <w:szCs w:val="23"/>
        </w:rPr>
        <w:lastRenderedPageBreak/>
        <w:t xml:space="preserve">　　（四）提供优质国际化人才服务保障工作</w:t>
      </w:r>
      <w:r>
        <w:rPr>
          <w:rFonts w:ascii="微软雅黑" w:eastAsia="微软雅黑" w:hAnsi="微软雅黑" w:hint="eastAsia"/>
          <w:color w:val="6A6A6A"/>
          <w:sz w:val="23"/>
          <w:szCs w:val="23"/>
        </w:rPr>
        <w:br/>
        <w:t xml:space="preserve">　　13.推进外籍人才来临沂工作便利化。对“高精尖缺”外国高层次人才来临沂工作放宽年龄、学历、工作经历等条件。放宽工作经历条件,允许具有硕士以上学历的优秀应届外国留学生或外籍毕业生申请办理2年以内的外国人工作许可和工作类居留许可。对持其他签证入境的高层次人才,在临沂工作可直接办理外国人工作许可和工作类居留许可。符合条件的外籍高层次人才及其外籍配偶、未成年子女可同时申请外国人永久居留身份证。对已获永久居留资格或持有工作类居留许可的外籍高层次人才,为其聘雇的外籍家政服务人员办理相应期限的外国人工作许可和工作类居留许可。</w:t>
      </w:r>
      <w:r>
        <w:rPr>
          <w:rFonts w:ascii="微软雅黑" w:eastAsia="微软雅黑" w:hAnsi="微软雅黑" w:hint="eastAsia"/>
          <w:color w:val="6A6A6A"/>
          <w:sz w:val="23"/>
          <w:szCs w:val="23"/>
        </w:rPr>
        <w:br/>
        <w:t xml:space="preserve">　　14.营造国际化人才服务环境。优化海外人才就医环境,积极创造条件建设国际化医院,指定一家三甲医院设立国际门诊,为外国人才提供预约诊疗和外语服务。根据省制定出台的《山东省外籍人员子女学校管理办法》,在外籍人才集聚度相对较高的地区建设示范性外籍人员子女学校,为海外高层次人才子女入读外籍人员子女学校提供便利。</w:t>
      </w:r>
      <w:r>
        <w:rPr>
          <w:rFonts w:ascii="微软雅黑" w:eastAsia="微软雅黑" w:hAnsi="微软雅黑" w:hint="eastAsia"/>
          <w:color w:val="6A6A6A"/>
          <w:sz w:val="23"/>
          <w:szCs w:val="23"/>
        </w:rPr>
        <w:br/>
        <w:t xml:space="preserve">　　四、组织保障</w:t>
      </w:r>
      <w:r>
        <w:rPr>
          <w:rFonts w:ascii="微软雅黑" w:eastAsia="微软雅黑" w:hAnsi="微软雅黑" w:hint="eastAsia"/>
          <w:color w:val="6A6A6A"/>
          <w:sz w:val="23"/>
          <w:szCs w:val="23"/>
        </w:rPr>
        <w:br/>
        <w:t xml:space="preserve">　　各级各部门要充分认识加快推进人才国际化的重要意义,将其列入重要议事日程。加快推进人才国际化工作由市人才工作领导小组统一领导,市人力资源社会保障局会同市教育局、市科技局、市公安局、市财政局、市卫生计生委、市税务局等有关部门按照职责分工组织落实。各部门要强化责任意识,加强协调配合,形成统分结合、上下联动、协调高效、整体推进的工作运行机制,制定实施细则,创造性地开展工作,确保各项支持措施落到实处。</w:t>
      </w:r>
    </w:p>
    <w:p w14:paraId="2BFAF3A6" w14:textId="77777777" w:rsidR="00A11FD1" w:rsidRDefault="00A11FD1">
      <w:bookmarkStart w:id="0" w:name="_GoBack"/>
      <w:bookmarkEnd w:id="0"/>
    </w:p>
    <w:sectPr w:rsidR="00A11F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38A2A" w14:textId="77777777" w:rsidR="00EE13D9" w:rsidRDefault="00EE13D9" w:rsidP="007B1F76">
      <w:r>
        <w:separator/>
      </w:r>
    </w:p>
  </w:endnote>
  <w:endnote w:type="continuationSeparator" w:id="0">
    <w:p w14:paraId="28708100" w14:textId="77777777" w:rsidR="00EE13D9" w:rsidRDefault="00EE13D9" w:rsidP="007B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DDF2" w14:textId="77777777" w:rsidR="00EE13D9" w:rsidRDefault="00EE13D9" w:rsidP="007B1F76">
      <w:r>
        <w:separator/>
      </w:r>
    </w:p>
  </w:footnote>
  <w:footnote w:type="continuationSeparator" w:id="0">
    <w:p w14:paraId="2B01718D" w14:textId="77777777" w:rsidR="00EE13D9" w:rsidRDefault="00EE13D9" w:rsidP="007B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7CA"/>
    <w:rsid w:val="006127CA"/>
    <w:rsid w:val="007B1F76"/>
    <w:rsid w:val="00A11FD1"/>
    <w:rsid w:val="00EE1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9F627D-DDB8-42BB-8D18-2E9BD0AF6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1F76"/>
    <w:rPr>
      <w:sz w:val="18"/>
      <w:szCs w:val="18"/>
    </w:rPr>
  </w:style>
  <w:style w:type="paragraph" w:styleId="a5">
    <w:name w:val="footer"/>
    <w:basedOn w:val="a"/>
    <w:link w:val="a6"/>
    <w:uiPriority w:val="99"/>
    <w:unhideWhenUsed/>
    <w:rsid w:val="007B1F76"/>
    <w:pPr>
      <w:tabs>
        <w:tab w:val="center" w:pos="4153"/>
        <w:tab w:val="right" w:pos="8306"/>
      </w:tabs>
      <w:snapToGrid w:val="0"/>
      <w:jc w:val="left"/>
    </w:pPr>
    <w:rPr>
      <w:sz w:val="18"/>
      <w:szCs w:val="18"/>
    </w:rPr>
  </w:style>
  <w:style w:type="character" w:customStyle="1" w:styleId="a6">
    <w:name w:val="页脚 字符"/>
    <w:basedOn w:val="a0"/>
    <w:link w:val="a5"/>
    <w:uiPriority w:val="99"/>
    <w:rsid w:val="007B1F76"/>
    <w:rPr>
      <w:sz w:val="18"/>
      <w:szCs w:val="18"/>
    </w:rPr>
  </w:style>
  <w:style w:type="paragraph" w:styleId="a7">
    <w:name w:val="Normal (Web)"/>
    <w:basedOn w:val="a"/>
    <w:uiPriority w:val="99"/>
    <w:semiHidden/>
    <w:unhideWhenUsed/>
    <w:rsid w:val="007B1F7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3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2019-01-22T01:39:00Z</dcterms:created>
  <dcterms:modified xsi:type="dcterms:W3CDTF">2019-01-22T01:39:00Z</dcterms:modified>
</cp:coreProperties>
</file>