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094C3D" w:rsidRPr="00094C3D">
        <w:trPr>
          <w:trHeight w:val="370"/>
          <w:tblCellSpacing w:w="15" w:type="dxa"/>
          <w:jc w:val="center"/>
        </w:trPr>
        <w:tc>
          <w:tcPr>
            <w:tcW w:w="0" w:type="auto"/>
            <w:vAlign w:val="center"/>
            <w:hideMark/>
          </w:tcPr>
          <w:p w:rsidR="00094C3D" w:rsidRPr="00094C3D" w:rsidRDefault="00094C3D" w:rsidP="00094C3D">
            <w:pPr>
              <w:widowControl/>
              <w:jc w:val="center"/>
              <w:rPr>
                <w:rFonts w:ascii="宋体" w:eastAsia="宋体" w:hAnsi="宋体" w:cs="宋体"/>
                <w:b/>
                <w:bCs/>
                <w:color w:val="5C5C5C"/>
                <w:kern w:val="0"/>
                <w:sz w:val="32"/>
                <w:szCs w:val="32"/>
              </w:rPr>
            </w:pPr>
            <w:bookmarkStart w:id="0" w:name="_GoBack"/>
            <w:r w:rsidRPr="00094C3D">
              <w:rPr>
                <w:rFonts w:ascii="宋体" w:eastAsia="宋体" w:hAnsi="宋体" w:cs="宋体"/>
                <w:b/>
                <w:bCs/>
                <w:color w:val="5C5C5C"/>
                <w:kern w:val="0"/>
                <w:sz w:val="32"/>
                <w:szCs w:val="32"/>
              </w:rPr>
              <w:t>金乡县人民政府关于进一步推广运用政府和社会资本合作（PPP）模式的实施意见</w:t>
            </w:r>
            <w:bookmarkEnd w:id="0"/>
          </w:p>
        </w:tc>
      </w:tr>
      <w:tr w:rsidR="00094C3D" w:rsidRPr="00094C3D">
        <w:trPr>
          <w:tblCellSpacing w:w="15" w:type="dxa"/>
          <w:jc w:val="center"/>
        </w:trPr>
        <w:tc>
          <w:tcPr>
            <w:tcW w:w="0" w:type="auto"/>
            <w:vAlign w:val="center"/>
            <w:hideMark/>
          </w:tcPr>
          <w:p w:rsidR="00094C3D" w:rsidRPr="00094C3D" w:rsidRDefault="00094C3D" w:rsidP="00094C3D">
            <w:pPr>
              <w:widowControl/>
              <w:jc w:val="center"/>
              <w:rPr>
                <w:rFonts w:ascii="宋体" w:eastAsia="宋体" w:hAnsi="宋体" w:cs="宋体"/>
                <w:color w:val="5C5C5C"/>
                <w:kern w:val="0"/>
                <w:sz w:val="18"/>
                <w:szCs w:val="18"/>
              </w:rPr>
            </w:pPr>
            <w:r w:rsidRPr="00094C3D">
              <w:rPr>
                <w:rFonts w:ascii="宋体" w:eastAsia="宋体" w:hAnsi="宋体" w:cs="宋体"/>
                <w:color w:val="5C5C5C"/>
                <w:kern w:val="0"/>
                <w:sz w:val="18"/>
                <w:szCs w:val="18"/>
              </w:rPr>
              <w:pict>
                <v:rect id="_x0000_i1025" style="width:0;height:.5pt" o:hralign="center" o:hrstd="t" o:hrnoshade="t" o:hr="t" fillcolor="#ddd" stroked="f"/>
              </w:pict>
            </w:r>
          </w:p>
          <w:tbl>
            <w:tblPr>
              <w:tblW w:w="3500" w:type="pct"/>
              <w:jc w:val="center"/>
              <w:tblCellSpacing w:w="15" w:type="dxa"/>
              <w:tblCellMar>
                <w:top w:w="15" w:type="dxa"/>
                <w:left w:w="15" w:type="dxa"/>
                <w:bottom w:w="15" w:type="dxa"/>
                <w:right w:w="15" w:type="dxa"/>
              </w:tblCellMar>
              <w:tblLook w:val="04A0" w:firstRow="1" w:lastRow="0" w:firstColumn="1" w:lastColumn="0" w:noHBand="0" w:noVBand="1"/>
            </w:tblPr>
            <w:tblGrid>
              <w:gridCol w:w="2065"/>
              <w:gridCol w:w="1545"/>
              <w:gridCol w:w="1560"/>
            </w:tblGrid>
            <w:tr w:rsidR="00094C3D" w:rsidRPr="00094C3D">
              <w:trPr>
                <w:tblCellSpacing w:w="15" w:type="dxa"/>
                <w:jc w:val="center"/>
              </w:trPr>
              <w:tc>
                <w:tcPr>
                  <w:tcW w:w="2000" w:type="pct"/>
                  <w:vAlign w:val="center"/>
                  <w:hideMark/>
                </w:tcPr>
                <w:p w:rsidR="00094C3D" w:rsidRPr="00094C3D" w:rsidRDefault="00094C3D" w:rsidP="00094C3D">
                  <w:pPr>
                    <w:widowControl/>
                    <w:jc w:val="center"/>
                    <w:rPr>
                      <w:rFonts w:ascii="宋体" w:eastAsia="宋体" w:hAnsi="宋体" w:cs="宋体"/>
                      <w:color w:val="5C5C5C"/>
                      <w:kern w:val="0"/>
                      <w:sz w:val="18"/>
                      <w:szCs w:val="18"/>
                    </w:rPr>
                  </w:pPr>
                  <w:r w:rsidRPr="00094C3D">
                    <w:rPr>
                      <w:rFonts w:ascii="宋体" w:eastAsia="宋体" w:hAnsi="宋体" w:cs="宋体"/>
                      <w:color w:val="5C5C5C"/>
                      <w:kern w:val="0"/>
                      <w:sz w:val="18"/>
                      <w:szCs w:val="18"/>
                    </w:rPr>
                    <w:t xml:space="preserve">发布日期：2017-12-13 10:50:11 </w:t>
                  </w:r>
                </w:p>
              </w:tc>
              <w:tc>
                <w:tcPr>
                  <w:tcW w:w="0" w:type="auto"/>
                  <w:vAlign w:val="center"/>
                  <w:hideMark/>
                </w:tcPr>
                <w:p w:rsidR="00094C3D" w:rsidRPr="00094C3D" w:rsidRDefault="00094C3D" w:rsidP="00094C3D">
                  <w:pPr>
                    <w:widowControl/>
                    <w:jc w:val="center"/>
                    <w:rPr>
                      <w:rFonts w:ascii="宋体" w:eastAsia="宋体" w:hAnsi="宋体" w:cs="宋体"/>
                      <w:color w:val="5C5C5C"/>
                      <w:kern w:val="0"/>
                      <w:sz w:val="18"/>
                      <w:szCs w:val="18"/>
                    </w:rPr>
                  </w:pPr>
                  <w:r w:rsidRPr="00094C3D">
                    <w:rPr>
                      <w:rFonts w:ascii="宋体" w:eastAsia="宋体" w:hAnsi="宋体" w:cs="宋体"/>
                      <w:color w:val="5C5C5C"/>
                      <w:kern w:val="0"/>
                      <w:sz w:val="18"/>
                      <w:szCs w:val="18"/>
                    </w:rPr>
                    <w:t xml:space="preserve">访问次数: </w:t>
                  </w:r>
                  <w:r w:rsidRPr="00094C3D">
                    <w:rPr>
                      <w:rFonts w:ascii="宋体" w:eastAsia="宋体" w:hAnsi="宋体" w:cs="宋体"/>
                      <w:color w:val="5C5C5C"/>
                      <w:kern w:val="0"/>
                      <w:sz w:val="18"/>
                      <w:szCs w:val="18"/>
                    </w:rPr>
                    <w:pict/>
                  </w:r>
                  <w:r w:rsidRPr="00094C3D">
                    <w:rPr>
                      <w:rFonts w:ascii="宋体" w:eastAsia="宋体" w:hAnsi="宋体" w:cs="宋体"/>
                      <w:color w:val="5C5C5C"/>
                      <w:kern w:val="0"/>
                      <w:sz w:val="18"/>
                      <w:szCs w:val="18"/>
                    </w:rPr>
                    <w:t>704</w:t>
                  </w:r>
                </w:p>
              </w:tc>
              <w:tc>
                <w:tcPr>
                  <w:tcW w:w="1500" w:type="pct"/>
                  <w:vAlign w:val="center"/>
                  <w:hideMark/>
                </w:tcPr>
                <w:p w:rsidR="00094C3D" w:rsidRPr="00094C3D" w:rsidRDefault="00094C3D" w:rsidP="00094C3D">
                  <w:pPr>
                    <w:widowControl/>
                    <w:jc w:val="center"/>
                    <w:rPr>
                      <w:rFonts w:ascii="宋体" w:eastAsia="宋体" w:hAnsi="宋体" w:cs="宋体"/>
                      <w:color w:val="5C5C5C"/>
                      <w:kern w:val="0"/>
                      <w:sz w:val="18"/>
                      <w:szCs w:val="18"/>
                    </w:rPr>
                  </w:pPr>
                  <w:r w:rsidRPr="00094C3D">
                    <w:rPr>
                      <w:rFonts w:ascii="宋体" w:eastAsia="宋体" w:hAnsi="宋体" w:cs="宋体"/>
                      <w:color w:val="5C5C5C"/>
                      <w:kern w:val="0"/>
                      <w:sz w:val="18"/>
                      <w:szCs w:val="18"/>
                    </w:rPr>
                    <w:t xml:space="preserve">字号：[ </w:t>
                  </w:r>
                  <w:hyperlink r:id="rId4" w:history="1">
                    <w:r w:rsidRPr="00094C3D">
                      <w:rPr>
                        <w:rFonts w:ascii="宋体" w:eastAsia="宋体" w:hAnsi="宋体" w:cs="宋体"/>
                        <w:color w:val="5C5C5C"/>
                        <w:kern w:val="0"/>
                        <w:sz w:val="18"/>
                        <w:szCs w:val="18"/>
                      </w:rPr>
                      <w:t>大</w:t>
                    </w:r>
                  </w:hyperlink>
                  <w:r w:rsidRPr="00094C3D">
                    <w:rPr>
                      <w:rFonts w:ascii="宋体" w:eastAsia="宋体" w:hAnsi="宋体" w:cs="宋体"/>
                      <w:color w:val="5C5C5C"/>
                      <w:kern w:val="0"/>
                      <w:sz w:val="18"/>
                      <w:szCs w:val="18"/>
                    </w:rPr>
                    <w:t xml:space="preserve"> </w:t>
                  </w:r>
                  <w:hyperlink r:id="rId5" w:history="1">
                    <w:r w:rsidRPr="00094C3D">
                      <w:rPr>
                        <w:rFonts w:ascii="宋体" w:eastAsia="宋体" w:hAnsi="宋体" w:cs="宋体"/>
                        <w:color w:val="5C5C5C"/>
                        <w:kern w:val="0"/>
                        <w:sz w:val="18"/>
                        <w:szCs w:val="18"/>
                      </w:rPr>
                      <w:t>中</w:t>
                    </w:r>
                  </w:hyperlink>
                  <w:r w:rsidRPr="00094C3D">
                    <w:rPr>
                      <w:rFonts w:ascii="宋体" w:eastAsia="宋体" w:hAnsi="宋体" w:cs="宋体"/>
                      <w:color w:val="5C5C5C"/>
                      <w:kern w:val="0"/>
                      <w:sz w:val="18"/>
                      <w:szCs w:val="18"/>
                    </w:rPr>
                    <w:t xml:space="preserve"> </w:t>
                  </w:r>
                  <w:hyperlink r:id="rId6" w:history="1">
                    <w:r w:rsidRPr="00094C3D">
                      <w:rPr>
                        <w:rFonts w:ascii="宋体" w:eastAsia="宋体" w:hAnsi="宋体" w:cs="宋体"/>
                        <w:color w:val="5C5C5C"/>
                        <w:kern w:val="0"/>
                        <w:sz w:val="18"/>
                        <w:szCs w:val="18"/>
                      </w:rPr>
                      <w:t>小</w:t>
                    </w:r>
                  </w:hyperlink>
                  <w:r w:rsidRPr="00094C3D">
                    <w:rPr>
                      <w:rFonts w:ascii="宋体" w:eastAsia="宋体" w:hAnsi="宋体" w:cs="宋体"/>
                      <w:color w:val="5C5C5C"/>
                      <w:kern w:val="0"/>
                      <w:sz w:val="18"/>
                      <w:szCs w:val="18"/>
                    </w:rPr>
                    <w:t xml:space="preserve"> ]</w:t>
                  </w:r>
                </w:p>
              </w:tc>
            </w:tr>
          </w:tbl>
          <w:p w:rsidR="00094C3D" w:rsidRPr="00094C3D" w:rsidRDefault="00094C3D" w:rsidP="00094C3D">
            <w:pPr>
              <w:widowControl/>
              <w:jc w:val="center"/>
              <w:rPr>
                <w:rFonts w:ascii="宋体" w:eastAsia="宋体" w:hAnsi="宋体" w:cs="宋体"/>
                <w:color w:val="5C5C5C"/>
                <w:kern w:val="0"/>
                <w:sz w:val="18"/>
                <w:szCs w:val="18"/>
              </w:rPr>
            </w:pPr>
            <w:r w:rsidRPr="00094C3D">
              <w:rPr>
                <w:rFonts w:ascii="宋体" w:eastAsia="宋体" w:hAnsi="宋体" w:cs="宋体"/>
                <w:color w:val="5C5C5C"/>
                <w:kern w:val="0"/>
                <w:sz w:val="18"/>
                <w:szCs w:val="18"/>
              </w:rPr>
              <w:pict>
                <v:rect id="_x0000_i1027" style="width:0;height:.5pt" o:hralign="center" o:hrstd="t" o:hrnoshade="t" o:hr="t" fillcolor="#ddd" stroked="f"/>
              </w:pict>
            </w:r>
          </w:p>
          <w:p w:rsidR="00094C3D" w:rsidRPr="00094C3D" w:rsidRDefault="00094C3D" w:rsidP="00094C3D">
            <w:pPr>
              <w:widowControl/>
              <w:spacing w:after="240"/>
              <w:jc w:val="center"/>
              <w:rPr>
                <w:rFonts w:ascii="宋体" w:eastAsia="宋体" w:hAnsi="宋体" w:cs="宋体"/>
                <w:color w:val="5C5C5C"/>
                <w:kern w:val="0"/>
                <w:sz w:val="18"/>
                <w:szCs w:val="18"/>
              </w:rPr>
            </w:pPr>
          </w:p>
        </w:tc>
      </w:tr>
      <w:tr w:rsidR="00094C3D" w:rsidRPr="00094C3D">
        <w:trPr>
          <w:tblCellSpacing w:w="15" w:type="dxa"/>
          <w:jc w:val="center"/>
        </w:trPr>
        <w:tc>
          <w:tcPr>
            <w:tcW w:w="0" w:type="auto"/>
            <w:vAlign w:val="center"/>
            <w:hideMark/>
          </w:tcPr>
          <w:p w:rsidR="00094C3D" w:rsidRPr="00094C3D" w:rsidRDefault="00094C3D" w:rsidP="00094C3D">
            <w:pPr>
              <w:shd w:val="clear" w:color="auto" w:fill="FFFFFF"/>
              <w:snapToGrid w:val="0"/>
              <w:spacing w:line="480" w:lineRule="auto"/>
              <w:jc w:val="center"/>
              <w:outlineLvl w:val="0"/>
              <w:rPr>
                <w:rFonts w:ascii="宋体" w:eastAsia="宋体" w:hAnsi="宋体" w:cs="宋体"/>
                <w:color w:val="000000"/>
                <w:kern w:val="0"/>
                <w:sz w:val="24"/>
                <w:szCs w:val="24"/>
              </w:rPr>
            </w:pPr>
            <w:r w:rsidRPr="00094C3D">
              <w:rPr>
                <w:rFonts w:asciiTheme="minorEastAsia" w:hAnsiTheme="minorEastAsia" w:cs="宋体" w:hint="eastAsia"/>
                <w:color w:val="333333"/>
                <w:kern w:val="36"/>
                <w:sz w:val="24"/>
                <w:szCs w:val="24"/>
              </w:rPr>
              <w:t>金政发〔2017〕29号</w:t>
            </w:r>
          </w:p>
          <w:p w:rsidR="00094C3D" w:rsidRPr="00094C3D" w:rsidRDefault="00094C3D" w:rsidP="00094C3D">
            <w:pPr>
              <w:shd w:val="clear" w:color="auto" w:fill="FFFFFF"/>
              <w:snapToGrid w:val="0"/>
              <w:spacing w:line="480" w:lineRule="auto"/>
              <w:ind w:firstLineChars="600" w:firstLine="1440"/>
              <w:jc w:val="center"/>
              <w:outlineLvl w:val="0"/>
              <w:rPr>
                <w:rFonts w:ascii="宋体" w:eastAsia="宋体" w:hAnsi="宋体" w:cs="宋体"/>
                <w:color w:val="000000"/>
                <w:kern w:val="0"/>
                <w:sz w:val="24"/>
                <w:szCs w:val="24"/>
              </w:rPr>
            </w:pPr>
            <w:r w:rsidRPr="00094C3D">
              <w:rPr>
                <w:rFonts w:asciiTheme="minorEastAsia" w:hAnsiTheme="minorEastAsia" w:cs="宋体" w:hint="eastAsia"/>
                <w:color w:val="333333"/>
                <w:kern w:val="36"/>
                <w:sz w:val="24"/>
                <w:szCs w:val="24"/>
              </w:rPr>
              <w:t> </w:t>
            </w:r>
          </w:p>
          <w:p w:rsidR="00094C3D" w:rsidRPr="00094C3D" w:rsidRDefault="00094C3D" w:rsidP="00094C3D">
            <w:pPr>
              <w:snapToGrid w:val="0"/>
              <w:spacing w:line="480" w:lineRule="auto"/>
              <w:rPr>
                <w:rFonts w:ascii="宋体" w:eastAsia="宋体" w:hAnsi="宋体" w:cs="宋体"/>
                <w:color w:val="000000"/>
                <w:kern w:val="0"/>
                <w:sz w:val="24"/>
                <w:szCs w:val="24"/>
              </w:rPr>
            </w:pPr>
            <w:r w:rsidRPr="00094C3D">
              <w:rPr>
                <w:rFonts w:asciiTheme="minorEastAsia" w:hAnsiTheme="minorEastAsia" w:cs="宋体" w:hint="eastAsia"/>
                <w:color w:val="000000"/>
                <w:kern w:val="0"/>
                <w:sz w:val="24"/>
                <w:szCs w:val="24"/>
              </w:rPr>
              <w:t>各镇政府，各街道办事处，各管委会，县政府各部门，各企事业单位：</w:t>
            </w:r>
          </w:p>
          <w:p w:rsidR="00094C3D" w:rsidRPr="00094C3D" w:rsidRDefault="00094C3D" w:rsidP="00094C3D">
            <w:pPr>
              <w:shd w:val="clear" w:color="auto" w:fill="FFFFFF"/>
              <w:snapToGrid w:val="0"/>
              <w:spacing w:line="480" w:lineRule="auto"/>
              <w:ind w:firstLineChars="200" w:firstLine="480"/>
              <w:outlineLvl w:val="0"/>
              <w:rPr>
                <w:rFonts w:ascii="宋体" w:eastAsia="宋体" w:hAnsi="宋体" w:cs="宋体"/>
                <w:color w:val="000000"/>
                <w:kern w:val="0"/>
                <w:sz w:val="24"/>
                <w:szCs w:val="24"/>
              </w:rPr>
            </w:pPr>
            <w:r w:rsidRPr="00094C3D">
              <w:rPr>
                <w:rFonts w:asciiTheme="minorEastAsia" w:hAnsiTheme="minorEastAsia" w:cs="宋体" w:hint="eastAsia"/>
                <w:color w:val="000000"/>
                <w:kern w:val="0"/>
                <w:sz w:val="24"/>
                <w:szCs w:val="24"/>
              </w:rPr>
              <w:t>为鼓励社会资本参与我县公共服务领域投资运营，拓宽投融资渠道，提高公共产品供给质量和效率，促进政府职能转变，根据国务院办公厅《转发财政部发展改革委人民银行关于在公共服务领域推广政府和社会资本合作模式指导意见的通知》（国办发〔2015〕42号）、山东省人民政府办公厅《转发省财政厅省发展改革委人民银行济南分行关于在公共服务领域推广政府和社会资本合作模式的指导意见的通知》（鲁政办发〔2015〕35号）、财政部《关于进一步规范地方政府举债融资行为的通知》（财预〔2017〕50号）、财政部《关于规范政府和社会资本合作（PPP）综合信息平台项目库管理的通知》（财办金〔2017〕92号）、济宁市人民政府办公室《关于进一步推广运用政府和社资本合作模式的实施意见》（济政办发〔2017〕34号）等文件规定要求，结合我县实际，现就进一步推广运用政府</w:t>
            </w:r>
            <w:r w:rsidRPr="00094C3D">
              <w:rPr>
                <w:rFonts w:asciiTheme="minorEastAsia" w:hAnsiTheme="minorEastAsia" w:cs="宋体" w:hint="eastAsia"/>
                <w:bCs/>
                <w:color w:val="000000"/>
                <w:kern w:val="0"/>
                <w:sz w:val="24"/>
                <w:szCs w:val="24"/>
              </w:rPr>
              <w:t>和社会资本合作（简称PPP）模式提出以下实施意见。</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一、总体要求</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lastRenderedPageBreak/>
              <w:t>（一）指导思想。按照中央、省、</w:t>
            </w:r>
            <w:proofErr w:type="gramStart"/>
            <w:r w:rsidRPr="00094C3D">
              <w:rPr>
                <w:rFonts w:asciiTheme="minorEastAsia" w:hAnsiTheme="minorEastAsia" w:cs="Times New Roman"/>
                <w:color w:val="000000"/>
                <w:kern w:val="0"/>
                <w:sz w:val="24"/>
                <w:szCs w:val="24"/>
              </w:rPr>
              <w:t>市决策</w:t>
            </w:r>
            <w:proofErr w:type="gramEnd"/>
            <w:r w:rsidRPr="00094C3D">
              <w:rPr>
                <w:rFonts w:asciiTheme="minorEastAsia" w:hAnsiTheme="minorEastAsia" w:cs="Times New Roman"/>
                <w:color w:val="000000"/>
                <w:kern w:val="0"/>
                <w:sz w:val="24"/>
                <w:szCs w:val="24"/>
              </w:rPr>
              <w:t>部署和县委、县政府要求，改革创新公共服务机制和投入方式，厘清政府和市场边界，充分发挥市场在资源配置中的决定性作用，鼓励和引导社会资本积极参与基础设施和公共服务领域建设。提高公共服务供给质量和效率，为广大人民群众提供优质高效的公共服务，推动经济社会持续健康发展。</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（二）基本原则</w:t>
            </w:r>
            <w:r w:rsidRPr="00094C3D">
              <w:rPr>
                <w:rFonts w:asciiTheme="minorEastAsia" w:hAnsiTheme="minorEastAsia" w:cs="Times New Roman"/>
                <w:bCs/>
                <w:color w:val="000000"/>
                <w:kern w:val="0"/>
                <w:sz w:val="24"/>
                <w:szCs w:val="24"/>
              </w:rPr>
              <w:t>。</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bCs/>
                <w:color w:val="000000"/>
                <w:kern w:val="0"/>
                <w:sz w:val="24"/>
                <w:szCs w:val="24"/>
              </w:rPr>
              <w:t>1.依法治理，重诺履约。树立契约精神，坚持平等协商、互利互惠、诚实守信、严格履约，通过合同正确表达政府和社会资本意愿，合理分配风险，</w:t>
            </w:r>
            <w:proofErr w:type="gramStart"/>
            <w:r w:rsidRPr="00094C3D">
              <w:rPr>
                <w:rFonts w:asciiTheme="minorEastAsia" w:hAnsiTheme="minorEastAsia" w:cs="Times New Roman"/>
                <w:bCs/>
                <w:color w:val="000000"/>
                <w:kern w:val="0"/>
                <w:sz w:val="24"/>
                <w:szCs w:val="24"/>
              </w:rPr>
              <w:t>妥善履行</w:t>
            </w:r>
            <w:proofErr w:type="gramEnd"/>
            <w:r w:rsidRPr="00094C3D">
              <w:rPr>
                <w:rFonts w:asciiTheme="minorEastAsia" w:hAnsiTheme="minorEastAsia" w:cs="Times New Roman"/>
                <w:bCs/>
                <w:color w:val="000000"/>
                <w:kern w:val="0"/>
                <w:sz w:val="24"/>
                <w:szCs w:val="24"/>
              </w:rPr>
              <w:t>义务，有效主张权利。</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bCs/>
                <w:color w:val="000000"/>
                <w:kern w:val="0"/>
                <w:sz w:val="24"/>
                <w:szCs w:val="24"/>
              </w:rPr>
              <w:t>2.利益共享，风险分担。在兼顾效率与公平的基础上，统筹考虑社会资本的合理收益预期、政府的财政承受能力及使用者的支付能力，设置合理回报，形成收益约束，防止任何</w:t>
            </w:r>
            <w:r w:rsidRPr="00094C3D">
              <w:rPr>
                <w:rFonts w:asciiTheme="minorEastAsia" w:hAnsiTheme="minorEastAsia" w:cs="Times New Roman"/>
                <w:color w:val="000000"/>
                <w:kern w:val="0"/>
                <w:sz w:val="24"/>
                <w:szCs w:val="24"/>
              </w:rPr>
              <w:t>一方过分受损或超额获益。科学合理设计项目风险分担机制，项目建设、财务和运营维护等商业风险由社会资本方承担，法律、政策和最低需求风险由政府承担。</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bCs/>
                <w:color w:val="000000"/>
                <w:kern w:val="0"/>
                <w:sz w:val="24"/>
                <w:szCs w:val="24"/>
              </w:rPr>
              <w:t>3.积极稳妥，规范运作。依法、规范、高效推进PPP项目实施，通过政府采购方式择优选择合作伙伴，坚持必要、合理、可持续的财政投入原则，防止政府支出责任过重加剧财政负担。</w:t>
            </w:r>
            <w:r w:rsidRPr="00094C3D">
              <w:rPr>
                <w:rFonts w:asciiTheme="minorEastAsia" w:hAnsiTheme="minorEastAsia" w:cs="Times New Roman"/>
                <w:color w:val="000000"/>
                <w:kern w:val="0"/>
                <w:sz w:val="24"/>
                <w:szCs w:val="24"/>
              </w:rPr>
              <w:t>严禁地方政府利用PPP、政府出资的各类投资基金等方式违法违规变相举债，不得以借贷资金出资设立各类投资基金；不得以任何方式承诺回购社会资本方的投资本金；不得以任何方式承担社会资本方的投资本金损失；不得以任何方式向社会资本方承诺最低收益；不得对有限合伙</w:t>
            </w:r>
            <w:proofErr w:type="gramStart"/>
            <w:r w:rsidRPr="00094C3D">
              <w:rPr>
                <w:rFonts w:asciiTheme="minorEastAsia" w:hAnsiTheme="minorEastAsia" w:cs="Times New Roman"/>
                <w:color w:val="000000"/>
                <w:kern w:val="0"/>
                <w:sz w:val="24"/>
                <w:szCs w:val="24"/>
              </w:rPr>
              <w:t>制基金</w:t>
            </w:r>
            <w:proofErr w:type="gramEnd"/>
            <w:r w:rsidRPr="00094C3D">
              <w:rPr>
                <w:rFonts w:asciiTheme="minorEastAsia" w:hAnsiTheme="minorEastAsia" w:cs="Times New Roman"/>
                <w:color w:val="000000"/>
                <w:kern w:val="0"/>
                <w:sz w:val="24"/>
                <w:szCs w:val="24"/>
              </w:rPr>
              <w:t>等任何股权投资方式额外附加条款变相举债。</w:t>
            </w:r>
            <w:r w:rsidRPr="00094C3D">
              <w:rPr>
                <w:rFonts w:asciiTheme="minorEastAsia" w:hAnsiTheme="minorEastAsia" w:cs="Times New Roman"/>
                <w:bCs/>
                <w:color w:val="000000"/>
                <w:kern w:val="0"/>
                <w:sz w:val="24"/>
                <w:szCs w:val="24"/>
              </w:rPr>
              <w:t xml:space="preserve">  </w:t>
            </w:r>
          </w:p>
          <w:p w:rsidR="00094C3D" w:rsidRPr="00094C3D" w:rsidRDefault="00094C3D" w:rsidP="00094C3D">
            <w:pPr>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bCs/>
                <w:color w:val="000000"/>
                <w:kern w:val="0"/>
                <w:sz w:val="24"/>
                <w:szCs w:val="24"/>
              </w:rPr>
              <w:lastRenderedPageBreak/>
              <w:t>4.注重绩效，强化监督。</w:t>
            </w:r>
            <w:r w:rsidRPr="00094C3D">
              <w:rPr>
                <w:rFonts w:asciiTheme="minorEastAsia" w:hAnsiTheme="minorEastAsia" w:cs="Times New Roman"/>
                <w:color w:val="000000"/>
                <w:kern w:val="0"/>
                <w:sz w:val="24"/>
                <w:szCs w:val="24"/>
              </w:rPr>
              <w:t>建立政府、公众共同参与的综合性评价体系，建立事前设定绩效目标、事中进行绩效跟踪、事后进行绩效评价的全生命周期管理机制。将通过政府付费或可行性缺口补助方式获得回报的项目建设成本的30%与绩效考核结果挂钩，并将绩效评价结果作为调价的重要依据，确保实现公共利益最大化。加强政府监管，鼓励各利益相关方以多种形式参与监督，依法充分披露PPP项目实施相关信息，保障公众知情权。</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三）发展目标。立足于加强和改善公共服务，形成有效促进PPP模式规范健康发展的制度体系，培育统一规范、公开透明、竞争有序、监管有力的PPP市场。依据当地国民经济和社会发展规划及国家宏观调控总体要求，编制PPP项目三年滚动政府投资计划，明确计划期内的重大项目，并与中期财政规划相衔接，统筹安排、规范使用各类政府投资资金。在新建公共服务项目中，逐步增加使用PPP模式的比例，争取更多的PPP项目纳入中央、省级示范项目范围，确保我县PPP工作走在全市前列。</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二、适用范围及操作模式</w:t>
            </w:r>
          </w:p>
          <w:p w:rsidR="00094C3D" w:rsidRPr="00094C3D" w:rsidRDefault="00094C3D" w:rsidP="00094C3D">
            <w:pPr>
              <w:snapToGrid w:val="0"/>
              <w:spacing w:line="480" w:lineRule="auto"/>
              <w:ind w:firstLineChars="200" w:firstLine="480"/>
              <w:rPr>
                <w:rFonts w:ascii="宋体" w:eastAsia="宋体" w:hAnsi="宋体" w:cs="宋体"/>
                <w:color w:val="000000"/>
                <w:kern w:val="0"/>
                <w:sz w:val="24"/>
                <w:szCs w:val="24"/>
              </w:rPr>
            </w:pPr>
            <w:r w:rsidRPr="00094C3D">
              <w:rPr>
                <w:rFonts w:asciiTheme="minorEastAsia" w:hAnsiTheme="minorEastAsia" w:cs="宋体" w:hint="eastAsia"/>
                <w:color w:val="000000"/>
                <w:kern w:val="0"/>
                <w:sz w:val="24"/>
                <w:szCs w:val="24"/>
              </w:rPr>
              <w:t>（一）适用范围。政府和社会资本合作模式主要适用于投资规模较大、需求长期稳定、价格调整机制相对灵活、市场化程度相对较高的基础设施及公共服务领域，主要包括：交通运输、市政工程、环境保护、保障性安居工程、农业、林业、水利、医疗、卫生、养老、教育、科技、文化等。</w:t>
            </w:r>
          </w:p>
          <w:p w:rsidR="00094C3D" w:rsidRPr="00094C3D" w:rsidRDefault="00094C3D" w:rsidP="00094C3D">
            <w:pPr>
              <w:snapToGrid w:val="0"/>
              <w:spacing w:line="480" w:lineRule="auto"/>
              <w:ind w:firstLineChars="200" w:firstLine="480"/>
              <w:rPr>
                <w:rFonts w:ascii="宋体" w:eastAsia="宋体" w:hAnsi="宋体" w:cs="宋体"/>
                <w:color w:val="000000"/>
                <w:kern w:val="0"/>
                <w:sz w:val="24"/>
                <w:szCs w:val="24"/>
              </w:rPr>
            </w:pPr>
            <w:r w:rsidRPr="00094C3D">
              <w:rPr>
                <w:rFonts w:asciiTheme="minorEastAsia" w:hAnsiTheme="minorEastAsia" w:cs="宋体" w:hint="eastAsia"/>
                <w:color w:val="000000"/>
                <w:kern w:val="0"/>
                <w:sz w:val="24"/>
                <w:szCs w:val="24"/>
              </w:rPr>
              <w:t>（二）操作方式。政府授权项目实施机构根据项目实施周期、收费</w:t>
            </w:r>
            <w:r w:rsidRPr="00094C3D">
              <w:rPr>
                <w:rFonts w:asciiTheme="minorEastAsia" w:hAnsiTheme="minorEastAsia" w:cs="宋体" w:hint="eastAsia"/>
                <w:color w:val="000000"/>
                <w:kern w:val="0"/>
                <w:sz w:val="24"/>
                <w:szCs w:val="24"/>
              </w:rPr>
              <w:lastRenderedPageBreak/>
              <w:t>定价机制、投资收益水平、风险分配基本框架和所需要的政府投入等因素，合理选择建设—运营—移交（BOT）、建设—拥有—运营（BOO）、转让—运营—移交（TOT）、改建—运营—移交（ROT）等方式运作。</w:t>
            </w:r>
          </w:p>
          <w:p w:rsidR="00094C3D" w:rsidRPr="00094C3D" w:rsidRDefault="00094C3D" w:rsidP="00094C3D">
            <w:pPr>
              <w:snapToGrid w:val="0"/>
              <w:spacing w:line="480" w:lineRule="auto"/>
              <w:ind w:firstLineChars="200" w:firstLine="480"/>
              <w:rPr>
                <w:rFonts w:ascii="宋体" w:eastAsia="宋体" w:hAnsi="宋体" w:cs="宋体"/>
                <w:color w:val="000000"/>
                <w:kern w:val="0"/>
                <w:sz w:val="24"/>
                <w:szCs w:val="24"/>
              </w:rPr>
            </w:pPr>
            <w:r w:rsidRPr="00094C3D">
              <w:rPr>
                <w:rFonts w:asciiTheme="minorEastAsia" w:hAnsiTheme="minorEastAsia" w:cs="宋体" w:hint="eastAsia"/>
                <w:color w:val="000000"/>
                <w:kern w:val="0"/>
                <w:sz w:val="24"/>
                <w:szCs w:val="24"/>
              </w:rPr>
              <w:t>（三）付费机制。PPP模式是在基础设施及公共服务领域建立的一种长期合作关系，一般在10年以上、30年以下。付费机制分为使用者付费、政府付费、可行性缺口补助三种付费方式，由政府指定或授权的职能部门、事业单位与社会资本签订项目合作协议，社会资本可依法设立项目公司，政府可指定相关机构依法参股项目公司，共同参与项目前期论证、中期建设、后期运营等，共担风险，共享收益，实现项目公益性和盈利性的统一。</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三、规范推进PPP项目实施</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一）项目发起与筛选。PPP项目由政府或社会资本方发起，以政府发起为主。项目应符合经济和社会发展总体规划和专项规划，行业主管部门应从国民经济和社会发展规划及行业专项规划中的新建、改建项目或存量公共资产中遴选潜在项目，优先支持融资平台公司存量项目转型为政府和社会资本合作项目，政府参与的污水、垃圾处理项目要全面实施PPP模式。财政部门会同行业主管部门进行评估筛选，确定备选项目，并根据筛选结果制定项目年度和中期开发计划。在项目筛选中要积极倡导使用者付费的项目，适当开展可行性缺口补助的项目，审慎实施完全政府付费的项目。行业主管部门要会同规划部门做好项目的规划选址，会同国土部门做好土地批复及土地证的办理，会同环保部门进行环境影响评价报告，</w:t>
            </w:r>
            <w:proofErr w:type="gramStart"/>
            <w:r w:rsidRPr="00094C3D">
              <w:rPr>
                <w:rFonts w:asciiTheme="minorEastAsia" w:hAnsiTheme="minorEastAsia" w:cs="Times New Roman"/>
                <w:color w:val="000000"/>
                <w:kern w:val="0"/>
                <w:sz w:val="24"/>
                <w:szCs w:val="24"/>
              </w:rPr>
              <w:t>会同发改部门</w:t>
            </w:r>
            <w:proofErr w:type="gramEnd"/>
            <w:r w:rsidRPr="00094C3D">
              <w:rPr>
                <w:rFonts w:asciiTheme="minorEastAsia" w:hAnsiTheme="minorEastAsia" w:cs="Times New Roman"/>
                <w:color w:val="000000"/>
                <w:kern w:val="0"/>
                <w:sz w:val="24"/>
                <w:szCs w:val="24"/>
              </w:rPr>
              <w:t>做好可行性研究报告及项目立项工作。</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lastRenderedPageBreak/>
              <w:t>（二）物有所值评价。行业主管部门会同财政部门从定性、定量两个方面开展PPP项目物有所值评价，统筹定性评价和定量评价结论，初步做出物有所值评价结论。定性评价重点关注项目采用政府和社会资本合作模式与采用政府传统采购模式相比能否增加供给、优化风险分配、提高运营效率、促进创新和公平竞争等。定量评价主要通过对政府和社会资本合作项目全生命周期内政府支出成本现值与公共部门比较值进行比较，计算项目的物有所值量值，判断政府和社会资本合作模式是否降低项目全生命周期成本。</w:t>
            </w:r>
          </w:p>
          <w:p w:rsidR="00094C3D" w:rsidRPr="00094C3D" w:rsidRDefault="00094C3D" w:rsidP="00094C3D">
            <w:pPr>
              <w:shd w:val="clear" w:color="auto" w:fill="FFFFFF"/>
              <w:spacing w:line="480" w:lineRule="auto"/>
              <w:ind w:firstLineChars="200" w:firstLine="480"/>
              <w:rPr>
                <w:rFonts w:ascii="宋体" w:eastAsia="宋体" w:hAnsi="宋体" w:cs="宋体"/>
                <w:color w:val="000000"/>
                <w:kern w:val="0"/>
                <w:sz w:val="24"/>
                <w:szCs w:val="24"/>
              </w:rPr>
            </w:pPr>
            <w:r w:rsidRPr="00094C3D">
              <w:rPr>
                <w:rFonts w:asciiTheme="minorEastAsia" w:hAnsiTheme="minorEastAsia" w:cs="宋体" w:hint="eastAsia"/>
                <w:color w:val="000000"/>
                <w:kern w:val="0"/>
                <w:sz w:val="24"/>
                <w:szCs w:val="24"/>
              </w:rPr>
              <w:t>（三）财政承受能力论证。财政部门应根据项目全生命周期内的财政支出、政府债务等因素，对拟采用PPP模式运作的项目，开展财政承受能力论证，每年度本级全部PPP项目需要从预算中安排的支出责任，占一般公共预算支出比例应当不超过10%。《财政承受能力论证报告》应当综合考虑PPP项目全生命周期过程中股权投资、运营补贴、风险承担、配套投入等财政支出责任的特点、情景和发生概率等因素，分别进行支出测算。股权投资支出应当依据项目资本金要求以及项目公司股权结构合理确定。对政府财政支出责任中的土地等实物投入或无形资产投入，应依法进行评估，合理确定价值。</w:t>
            </w:r>
          </w:p>
          <w:p w:rsidR="00094C3D" w:rsidRPr="00094C3D" w:rsidRDefault="00094C3D" w:rsidP="00094C3D">
            <w:pPr>
              <w:shd w:val="clear" w:color="auto" w:fill="FFFFFF"/>
              <w:spacing w:line="480" w:lineRule="auto"/>
              <w:ind w:firstLineChars="200" w:firstLine="480"/>
              <w:rPr>
                <w:rFonts w:ascii="宋体" w:eastAsia="宋体" w:hAnsi="宋体" w:cs="宋体"/>
                <w:color w:val="000000"/>
                <w:kern w:val="0"/>
                <w:sz w:val="24"/>
                <w:szCs w:val="24"/>
              </w:rPr>
            </w:pPr>
            <w:r w:rsidRPr="00094C3D">
              <w:rPr>
                <w:rFonts w:asciiTheme="minorEastAsia" w:hAnsiTheme="minorEastAsia" w:cs="宋体" w:hint="eastAsia"/>
                <w:color w:val="000000"/>
                <w:kern w:val="0"/>
                <w:sz w:val="24"/>
                <w:szCs w:val="24"/>
              </w:rPr>
              <w:t>（四）项目实施方案编制审核。项目实施机构应根据前期论证情况，对通过评价论证的项目组织编制实施方案，依次对项目概况、风险分配框架、项目运作方式、交易结构、合同体系、监管架构、采购方式选择等方面进行介绍。财政会同行业主管部门等建立项目联评联审机制，对项目审批、立项和实施方案进行联合评审。通过评审的项目，由项目实</w:t>
            </w:r>
            <w:r w:rsidRPr="00094C3D">
              <w:rPr>
                <w:rFonts w:asciiTheme="minorEastAsia" w:hAnsiTheme="minorEastAsia" w:cs="宋体" w:hint="eastAsia"/>
                <w:color w:val="000000"/>
                <w:kern w:val="0"/>
                <w:sz w:val="24"/>
                <w:szCs w:val="24"/>
              </w:rPr>
              <w:lastRenderedPageBreak/>
              <w:t>施机构提报县政府研究。</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（五）公平择优选择社会资本方。行业主管部门根据《招标投标法》《政府采购法》等法律法规和财政部《关于印发政府和社会资本合作项目政府采购管理办法的通知》（</w:t>
            </w:r>
            <w:r w:rsidRPr="00094C3D">
              <w:rPr>
                <w:rFonts w:asciiTheme="minorEastAsia" w:hAnsiTheme="minorEastAsia" w:cs="Times New Roman"/>
                <w:color w:val="000000"/>
                <w:kern w:val="0"/>
                <w:sz w:val="24"/>
                <w:szCs w:val="24"/>
              </w:rPr>
              <w:fldChar w:fldCharType="begin"/>
            </w:r>
            <w:r w:rsidRPr="00094C3D">
              <w:rPr>
                <w:rFonts w:asciiTheme="minorEastAsia" w:hAnsiTheme="minorEastAsia" w:cs="Times New Roman"/>
                <w:color w:val="000000"/>
                <w:kern w:val="0"/>
                <w:sz w:val="24"/>
                <w:szCs w:val="24"/>
              </w:rPr>
              <w:instrText xml:space="preserve"> HYPERLINK "http://law.esnai.com/mview/149631" \o "</w:instrText>
            </w:r>
            <w:r w:rsidRPr="00094C3D">
              <w:rPr>
                <w:rFonts w:asciiTheme="minorEastAsia" w:hAnsiTheme="minorEastAsia" w:cs="Times New Roman" w:hint="eastAsia"/>
                <w:color w:val="000000"/>
                <w:kern w:val="0"/>
                <w:sz w:val="24"/>
                <w:szCs w:val="24"/>
              </w:rPr>
              <w:instrText>法规</w:instrText>
            </w:r>
            <w:r w:rsidRPr="00094C3D">
              <w:rPr>
                <w:rFonts w:asciiTheme="minorEastAsia" w:hAnsiTheme="minorEastAsia" w:cs="Times New Roman"/>
                <w:color w:val="000000"/>
                <w:kern w:val="0"/>
                <w:sz w:val="24"/>
                <w:szCs w:val="24"/>
              </w:rPr>
              <w:instrText>:</w:instrText>
            </w:r>
            <w:r w:rsidRPr="00094C3D">
              <w:rPr>
                <w:rFonts w:asciiTheme="minorEastAsia" w:hAnsiTheme="minorEastAsia" w:cs="Times New Roman" w:hint="eastAsia"/>
                <w:color w:val="000000"/>
                <w:kern w:val="0"/>
                <w:sz w:val="24"/>
                <w:szCs w:val="24"/>
              </w:rPr>
              <w:instrText>国发</w:instrText>
            </w:r>
            <w:r w:rsidRPr="00094C3D">
              <w:rPr>
                <w:rFonts w:asciiTheme="minorEastAsia" w:hAnsiTheme="minorEastAsia" w:cs="Times New Roman"/>
                <w:color w:val="000000"/>
                <w:kern w:val="0"/>
                <w:sz w:val="24"/>
                <w:szCs w:val="24"/>
              </w:rPr>
              <w:instrText>[2014]43</w:instrText>
            </w:r>
            <w:r w:rsidRPr="00094C3D">
              <w:rPr>
                <w:rFonts w:asciiTheme="minorEastAsia" w:hAnsiTheme="minorEastAsia" w:cs="Times New Roman" w:hint="eastAsia"/>
                <w:color w:val="000000"/>
                <w:kern w:val="0"/>
                <w:sz w:val="24"/>
                <w:szCs w:val="24"/>
              </w:rPr>
              <w:instrText>号</w:instrText>
            </w:r>
            <w:r w:rsidRPr="00094C3D">
              <w:rPr>
                <w:rFonts w:asciiTheme="minorEastAsia" w:hAnsiTheme="minorEastAsia" w:cs="Times New Roman"/>
                <w:color w:val="000000"/>
                <w:kern w:val="0"/>
                <w:sz w:val="24"/>
                <w:szCs w:val="24"/>
              </w:rPr>
              <w:instrText xml:space="preserve">" \t "_blank" </w:instrText>
            </w:r>
            <w:r w:rsidRPr="00094C3D">
              <w:rPr>
                <w:rFonts w:asciiTheme="minorEastAsia" w:hAnsiTheme="minorEastAsia" w:cs="Times New Roman"/>
                <w:color w:val="000000"/>
                <w:kern w:val="0"/>
                <w:sz w:val="24"/>
                <w:szCs w:val="24"/>
              </w:rPr>
              <w:fldChar w:fldCharType="separate"/>
            </w:r>
            <w:r w:rsidRPr="00094C3D">
              <w:rPr>
                <w:rFonts w:asciiTheme="minorEastAsia" w:hAnsiTheme="minorEastAsia" w:cs="Times New Roman"/>
                <w:color w:val="000000"/>
                <w:kern w:val="0"/>
                <w:sz w:val="24"/>
                <w:szCs w:val="24"/>
              </w:rPr>
              <w:t>财库〔2014〕215号</w:t>
            </w:r>
            <w:r w:rsidRPr="00094C3D">
              <w:rPr>
                <w:rFonts w:asciiTheme="minorEastAsia" w:hAnsiTheme="minorEastAsia" w:cs="Times New Roman"/>
                <w:color w:val="000000"/>
                <w:kern w:val="0"/>
                <w:sz w:val="24"/>
                <w:szCs w:val="24"/>
              </w:rPr>
              <w:fldChar w:fldCharType="end"/>
            </w:r>
            <w:r w:rsidRPr="00094C3D">
              <w:rPr>
                <w:rFonts w:asciiTheme="minorEastAsia" w:hAnsiTheme="minorEastAsia" w:cs="Times New Roman"/>
                <w:color w:val="000000"/>
                <w:kern w:val="0"/>
                <w:sz w:val="24"/>
                <w:szCs w:val="24"/>
              </w:rPr>
              <w:t>）文件规定，规范设置投资准入门槛，对各类投资主体同等对待，对民营资本不得单独设置附加条件。通过公开招标、竞争性谈判、竞争性磋商等竞争性方式，公平择优选择具有相应投资能力、管理经验、专业水平、融资实力并且信用状况良好的社会资本作为合作伙伴。项目采购应当实行资格预审，验证项目能否获得社会资本响应和实现充分竞争。采购结果确认谈判工作组，成员和数量由项目实施机构确定，但应至少包括财政预算管理部门、行业主管部门代表，以及财务、法律等方面的专家。涉及价格管理、环境保护的PPP项目，谈判工作组还应包括价格管理、环境保护行政执法部门代表。同时，要做好采购信息公开工作，维护采购活动的公开、公平、公正。</w:t>
            </w:r>
          </w:p>
          <w:p w:rsidR="00094C3D" w:rsidRPr="00094C3D" w:rsidRDefault="00094C3D" w:rsidP="00094C3D">
            <w:pPr>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（六）加强合同管理。按照财政部《</w:t>
            </w:r>
            <w:r w:rsidRPr="00094C3D">
              <w:rPr>
                <w:rFonts w:asciiTheme="minorEastAsia" w:hAnsiTheme="minorEastAsia" w:cs="Times New Roman"/>
                <w:color w:val="000000"/>
                <w:kern w:val="0"/>
                <w:sz w:val="24"/>
                <w:szCs w:val="24"/>
              </w:rPr>
              <w:fldChar w:fldCharType="begin"/>
            </w:r>
            <w:r w:rsidRPr="00094C3D">
              <w:rPr>
                <w:rFonts w:asciiTheme="minorEastAsia" w:hAnsiTheme="minorEastAsia" w:cs="Times New Roman"/>
                <w:color w:val="000000"/>
                <w:kern w:val="0"/>
                <w:sz w:val="24"/>
                <w:szCs w:val="24"/>
              </w:rPr>
              <w:instrText xml:space="preserve"> HYPERLINK "http://law.esnai.com/mview/153266" \o "</w:instrText>
            </w:r>
            <w:r w:rsidRPr="00094C3D">
              <w:rPr>
                <w:rFonts w:asciiTheme="minorEastAsia" w:hAnsiTheme="minorEastAsia" w:cs="Times New Roman" w:hint="eastAsia"/>
                <w:color w:val="000000"/>
                <w:kern w:val="0"/>
                <w:sz w:val="24"/>
                <w:szCs w:val="24"/>
              </w:rPr>
              <w:instrText>法规</w:instrText>
            </w:r>
            <w:r w:rsidRPr="00094C3D">
              <w:rPr>
                <w:rFonts w:asciiTheme="minorEastAsia" w:hAnsiTheme="minorEastAsia" w:cs="Times New Roman"/>
                <w:color w:val="000000"/>
                <w:kern w:val="0"/>
                <w:sz w:val="24"/>
                <w:szCs w:val="24"/>
              </w:rPr>
              <w:instrText>:</w:instrText>
            </w:r>
            <w:r w:rsidRPr="00094C3D">
              <w:rPr>
                <w:rFonts w:asciiTheme="minorEastAsia" w:hAnsiTheme="minorEastAsia" w:cs="Times New Roman" w:hint="eastAsia"/>
                <w:color w:val="000000"/>
                <w:kern w:val="0"/>
                <w:sz w:val="24"/>
                <w:szCs w:val="24"/>
              </w:rPr>
              <w:instrText>关于规范政府和社会资本合作合同管理工作的通知</w:instrText>
            </w:r>
            <w:r w:rsidRPr="00094C3D">
              <w:rPr>
                <w:rFonts w:asciiTheme="minorEastAsia" w:hAnsiTheme="minorEastAsia" w:cs="Times New Roman"/>
                <w:color w:val="000000"/>
                <w:kern w:val="0"/>
                <w:sz w:val="24"/>
                <w:szCs w:val="24"/>
              </w:rPr>
              <w:instrText xml:space="preserve">" \t "_blank" </w:instrText>
            </w:r>
            <w:r w:rsidRPr="00094C3D">
              <w:rPr>
                <w:rFonts w:asciiTheme="minorEastAsia" w:hAnsiTheme="minorEastAsia" w:cs="Times New Roman"/>
                <w:color w:val="000000"/>
                <w:kern w:val="0"/>
                <w:sz w:val="24"/>
                <w:szCs w:val="24"/>
              </w:rPr>
              <w:fldChar w:fldCharType="separate"/>
            </w:r>
            <w:r w:rsidRPr="00094C3D">
              <w:rPr>
                <w:rFonts w:asciiTheme="minorEastAsia" w:hAnsiTheme="minorEastAsia" w:cs="Times New Roman"/>
                <w:color w:val="000000"/>
                <w:kern w:val="0"/>
                <w:sz w:val="24"/>
                <w:szCs w:val="24"/>
              </w:rPr>
              <w:t>关于规范政府和社会资本合作合同管理工作的通知</w:t>
            </w:r>
            <w:r w:rsidRPr="00094C3D">
              <w:rPr>
                <w:rFonts w:asciiTheme="minorEastAsia" w:hAnsiTheme="minorEastAsia" w:cs="Times New Roman"/>
                <w:color w:val="000000"/>
                <w:kern w:val="0"/>
                <w:sz w:val="24"/>
                <w:szCs w:val="24"/>
              </w:rPr>
              <w:fldChar w:fldCharType="end"/>
            </w:r>
            <w:r w:rsidRPr="00094C3D">
              <w:rPr>
                <w:rFonts w:asciiTheme="minorEastAsia" w:hAnsiTheme="minorEastAsia" w:cs="Times New Roman"/>
                <w:color w:val="000000"/>
                <w:kern w:val="0"/>
                <w:sz w:val="24"/>
                <w:szCs w:val="24"/>
              </w:rPr>
              <w:t>》（</w:t>
            </w:r>
            <w:hyperlink r:id="rId7" w:tgtFrame="_blank" w:tooltip="法规:财金[2014]156号" w:history="1">
              <w:r w:rsidRPr="00094C3D">
                <w:rPr>
                  <w:rFonts w:asciiTheme="minorEastAsia" w:hAnsiTheme="minorEastAsia" w:cs="Times New Roman"/>
                  <w:color w:val="000000"/>
                  <w:kern w:val="0"/>
                  <w:sz w:val="24"/>
                  <w:szCs w:val="24"/>
                </w:rPr>
                <w:t>财金〔2014〕156号</w:t>
              </w:r>
            </w:hyperlink>
            <w:r w:rsidRPr="00094C3D">
              <w:rPr>
                <w:rFonts w:asciiTheme="minorEastAsia" w:hAnsiTheme="minorEastAsia" w:cs="Times New Roman"/>
                <w:color w:val="000000"/>
                <w:kern w:val="0"/>
                <w:sz w:val="24"/>
                <w:szCs w:val="24"/>
              </w:rPr>
              <w:t>）要求，行业主管部门与社会资本方依据“权责对等、激励相容”原则，科学设计并签订项目规范合同，明确项目的产出说明和绩效要求、收益回报机制、退出安排、应急和临时接管预案等关键环节，实现责权利对等。合理设置关于期限变更（展期和提前终止）、内容变更（产出标准调整、价格调整等）、主体变更（合同转让）等灵活调整机制，为项目执行预留调整和变更空间。在项目合同中，一是应特别注明特殊条件下导致的项目中止、临时</w:t>
            </w:r>
            <w:r w:rsidRPr="00094C3D">
              <w:rPr>
                <w:rFonts w:asciiTheme="minorEastAsia" w:hAnsiTheme="minorEastAsia" w:cs="Times New Roman"/>
                <w:color w:val="000000"/>
                <w:kern w:val="0"/>
                <w:sz w:val="24"/>
                <w:szCs w:val="24"/>
              </w:rPr>
              <w:lastRenderedPageBreak/>
              <w:t>征用等应急预案有关条款，同时，健全合同争议解决机制，依法积极协调解决争议。二是确需变更合同内容、延长合同期限以及变更社会资本方的，由政府和社会资本方协商解决，但应当保证公共服务的持续性和稳定性。三是政府和社会资本方要按照合同约定及时足额缴纳项目资本金，不允许以债务性资金充当资本金或由第三方</w:t>
            </w:r>
            <w:proofErr w:type="gramStart"/>
            <w:r w:rsidRPr="00094C3D">
              <w:rPr>
                <w:rFonts w:asciiTheme="minorEastAsia" w:hAnsiTheme="minorEastAsia" w:cs="Times New Roman"/>
                <w:color w:val="000000"/>
                <w:kern w:val="0"/>
                <w:sz w:val="24"/>
                <w:szCs w:val="24"/>
              </w:rPr>
              <w:t>代持社会</w:t>
            </w:r>
            <w:proofErr w:type="gramEnd"/>
            <w:r w:rsidRPr="00094C3D">
              <w:rPr>
                <w:rFonts w:asciiTheme="minorEastAsia" w:hAnsiTheme="minorEastAsia" w:cs="Times New Roman"/>
                <w:color w:val="000000"/>
                <w:kern w:val="0"/>
                <w:sz w:val="24"/>
                <w:szCs w:val="24"/>
              </w:rPr>
              <w:t>资本方股份。</w:t>
            </w:r>
          </w:p>
          <w:p w:rsidR="00094C3D" w:rsidRPr="00094C3D" w:rsidRDefault="00094C3D" w:rsidP="00094C3D">
            <w:pPr>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宋体"/>
                <w:color w:val="000000"/>
                <w:kern w:val="0"/>
                <w:sz w:val="24"/>
                <w:szCs w:val="24"/>
              </w:rPr>
              <w:t>（七）健全财政管理制度。统筹评估和控制项目的财政支出责任，促进中长期财政可持续发展。针对政府付费、使用者付费、可行性缺口补助等不同支付机制，将项目涉及的运营补贴、经营收费权和其他支付对价等，按照国家统一的会计制度进行核算，纳入年度预算、中期财政规划，在政府财务报告中进行反映和管理，并向县人大或其常委会报告。完善政府和社会资本合作项目资金管理，政府以运营补贴等作为社会资本提供公共服务的对价，以绩效评价结果作为对</w:t>
            </w:r>
            <w:proofErr w:type="gramStart"/>
            <w:r w:rsidRPr="00094C3D">
              <w:rPr>
                <w:rFonts w:asciiTheme="minorEastAsia" w:hAnsiTheme="minorEastAsia" w:cs="宋体"/>
                <w:color w:val="000000"/>
                <w:kern w:val="0"/>
                <w:sz w:val="24"/>
                <w:szCs w:val="24"/>
              </w:rPr>
              <w:t>价支付</w:t>
            </w:r>
            <w:proofErr w:type="gramEnd"/>
            <w:r w:rsidRPr="00094C3D">
              <w:rPr>
                <w:rFonts w:asciiTheme="minorEastAsia" w:hAnsiTheme="minorEastAsia" w:cs="宋体"/>
                <w:color w:val="000000"/>
                <w:kern w:val="0"/>
                <w:sz w:val="24"/>
                <w:szCs w:val="24"/>
              </w:rPr>
              <w:t>依据。</w:t>
            </w:r>
          </w:p>
          <w:p w:rsidR="00094C3D" w:rsidRPr="00094C3D" w:rsidRDefault="00094C3D" w:rsidP="00094C3D">
            <w:pPr>
              <w:adjustRightInd w:val="0"/>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四、保障措施</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一）强化组织领导。县政府各有关部门要按照职能分工，负责相关领域具体工作，加强推广政府和社会资本合作模式的指导和监督。财政部门要会同有关部门，加强政策沟通协调和信息交流，完善体制机制。教体、科技、民政、人社、国土资源、住建、城市管理、交通运输、水务、农业、林业、商务、文广新、卫计等行业主管部门，要结合本行业特点，积极运用PPP模式提供公共服务，探索完善相关监管制度体系。要建立工作协调机制，成立由政府主要领导任组长，财政、发改、国土资源、规划、住建、环保、审计等相关部门主要负责人为成员的政府PPP工作领导小组；政府和社会资本合作（PPP）中心要配备专职技术人员，</w:t>
            </w:r>
            <w:r w:rsidRPr="00094C3D">
              <w:rPr>
                <w:rFonts w:asciiTheme="minorEastAsia" w:hAnsiTheme="minorEastAsia" w:cs="Times New Roman"/>
                <w:color w:val="000000"/>
                <w:kern w:val="0"/>
                <w:sz w:val="24"/>
                <w:szCs w:val="24"/>
              </w:rPr>
              <w:lastRenderedPageBreak/>
              <w:t>承担政府和社会资本合作模式推广职责，提高专业水平和能力。每个项目都要成立由政府分管领导任组长，行业主管部门负责人任副组长，政府相关部门分管领导为成员的PPP项目推进工作组，统筹PPP项目推进，协调解决项目推进中的重大问题和事项。</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（二）加大财政支持力度。对中央财政PPP示范项目中已完成采购确定社会资本合作方的新建项目、省级示范项目，按照中央、省、市财政部门</w:t>
            </w:r>
            <w:proofErr w:type="gramStart"/>
            <w:r w:rsidRPr="00094C3D">
              <w:rPr>
                <w:rFonts w:asciiTheme="minorEastAsia" w:hAnsiTheme="minorEastAsia" w:cs="Times New Roman"/>
                <w:color w:val="000000"/>
                <w:kern w:val="0"/>
                <w:sz w:val="24"/>
                <w:szCs w:val="24"/>
              </w:rPr>
              <w:t>的奖补资金</w:t>
            </w:r>
            <w:proofErr w:type="gramEnd"/>
            <w:r w:rsidRPr="00094C3D">
              <w:rPr>
                <w:rFonts w:asciiTheme="minorEastAsia" w:hAnsiTheme="minorEastAsia" w:cs="Times New Roman"/>
                <w:color w:val="000000"/>
                <w:kern w:val="0"/>
                <w:sz w:val="24"/>
                <w:szCs w:val="24"/>
              </w:rPr>
              <w:t>规模给予项目一定奖励；对符合条件、规范实施的转型为</w:t>
            </w:r>
            <w:proofErr w:type="spellStart"/>
            <w:r w:rsidRPr="00094C3D">
              <w:rPr>
                <w:rFonts w:asciiTheme="minorEastAsia" w:hAnsiTheme="minorEastAsia" w:cs="Times New Roman"/>
                <w:color w:val="000000"/>
                <w:kern w:val="0"/>
                <w:sz w:val="24"/>
                <w:szCs w:val="24"/>
              </w:rPr>
              <w:t>PPP</w:t>
            </w:r>
            <w:proofErr w:type="spellEnd"/>
            <w:r w:rsidRPr="00094C3D">
              <w:rPr>
                <w:rFonts w:asciiTheme="minorEastAsia" w:hAnsiTheme="minorEastAsia" w:cs="Times New Roman"/>
                <w:color w:val="000000"/>
                <w:kern w:val="0"/>
                <w:sz w:val="24"/>
                <w:szCs w:val="24"/>
              </w:rPr>
              <w:t>项目的地方融资平台公司存量项目，通过择优评选，中央财政按照项目转型实际化解地方政府存量债务规模的2%给予奖励，省级财政给予70万元奖励。市财政对纳入国家和省项目库推介范围并获得补贴的示范项目，给予适当补贴奖励，对市政府批准的重点PPP项目，给予20-50万元的规划、论证等前期费用补贴。</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三）优化发展环境。完善投资者保护政策，维护社会资本的合法权益。加强能力建设和业务技能培训，注重专业人才培养，提升对PPP模式的理解和认识。强化舆论宣传引导，增强政府、社会和市场主体共识，为推广运用PPP模式提供理论支撑和经验借鉴，营造PPP规范发展的社会氛围。</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 </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附件：</w:t>
            </w:r>
            <w:hyperlink r:id="rId8" w:history="1">
              <w:r w:rsidRPr="00094C3D">
                <w:rPr>
                  <w:rFonts w:asciiTheme="minorEastAsia" w:hAnsiTheme="minorEastAsia" w:cs="Times New Roman"/>
                  <w:color w:val="5C5C5C"/>
                  <w:kern w:val="0"/>
                  <w:sz w:val="24"/>
                  <w:szCs w:val="24"/>
                </w:rPr>
                <w:t>金乡县PPP项目各部门职责及操作流程</w:t>
              </w:r>
            </w:hyperlink>
            <w:r w:rsidRPr="00094C3D">
              <w:rPr>
                <w:rFonts w:ascii="宋体" w:eastAsia="宋体" w:hAnsi="宋体" w:cs="宋体"/>
                <w:color w:val="000000"/>
                <w:kern w:val="0"/>
                <w:szCs w:val="21"/>
              </w:rPr>
              <w:t xml:space="preserve"> </w:t>
            </w:r>
          </w:p>
          <w:p w:rsidR="00094C3D" w:rsidRPr="00094C3D" w:rsidRDefault="00094C3D" w:rsidP="00094C3D">
            <w:pPr>
              <w:shd w:val="clear" w:color="auto" w:fill="FFFFFF"/>
              <w:snapToGrid w:val="0"/>
              <w:spacing w:line="480" w:lineRule="auto"/>
              <w:ind w:firstLineChars="200" w:firstLine="480"/>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 xml:space="preserve">                         </w:t>
            </w:r>
          </w:p>
          <w:p w:rsidR="00094C3D" w:rsidRPr="00094C3D" w:rsidRDefault="00094C3D" w:rsidP="00094C3D">
            <w:pPr>
              <w:shd w:val="clear" w:color="auto" w:fill="FFFFFF"/>
              <w:snapToGrid w:val="0"/>
              <w:spacing w:line="480" w:lineRule="auto"/>
              <w:ind w:firstLineChars="1400" w:firstLine="3360"/>
              <w:jc w:val="right"/>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 xml:space="preserve">   金乡县人民政府</w:t>
            </w:r>
          </w:p>
          <w:p w:rsidR="00094C3D" w:rsidRPr="00094C3D" w:rsidRDefault="00094C3D" w:rsidP="00094C3D">
            <w:pPr>
              <w:shd w:val="clear" w:color="auto" w:fill="FFFFFF"/>
              <w:snapToGrid w:val="0"/>
              <w:spacing w:line="480" w:lineRule="auto"/>
              <w:ind w:firstLineChars="1400" w:firstLine="3360"/>
              <w:jc w:val="right"/>
              <w:rPr>
                <w:rFonts w:ascii="宋体" w:eastAsia="宋体" w:hAnsi="宋体" w:cs="宋体"/>
                <w:color w:val="000000"/>
                <w:kern w:val="0"/>
                <w:szCs w:val="21"/>
              </w:rPr>
            </w:pPr>
            <w:r w:rsidRPr="00094C3D">
              <w:rPr>
                <w:rFonts w:asciiTheme="minorEastAsia" w:hAnsiTheme="minorEastAsia" w:cs="Times New Roman"/>
                <w:color w:val="000000"/>
                <w:kern w:val="0"/>
                <w:sz w:val="24"/>
                <w:szCs w:val="24"/>
              </w:rPr>
              <w:t>2017年12月1日</w:t>
            </w:r>
          </w:p>
        </w:tc>
      </w:tr>
    </w:tbl>
    <w:p w:rsidR="00F64D8B" w:rsidRPr="00094C3D" w:rsidRDefault="00F64D8B"/>
    <w:sectPr w:rsidR="00F64D8B" w:rsidRPr="00094C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3D"/>
    <w:rsid w:val="00094C3D"/>
    <w:rsid w:val="00F6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785E3-EC35-459C-A3E2-7BE34C72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4C3D"/>
    <w:rPr>
      <w:strike w:val="0"/>
      <w:dstrike w:val="0"/>
      <w:color w:val="5C5C5C"/>
      <w:u w:val="none"/>
      <w:effect w:val="none"/>
    </w:rPr>
  </w:style>
  <w:style w:type="paragraph" w:styleId="a4">
    <w:name w:val="Normal (Web)"/>
    <w:basedOn w:val="a"/>
    <w:uiPriority w:val="99"/>
    <w:semiHidden/>
    <w:unhideWhenUsed/>
    <w:rsid w:val="00094C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480122">
      <w:bodyDiv w:val="1"/>
      <w:marLeft w:val="0"/>
      <w:marRight w:val="0"/>
      <w:marTop w:val="0"/>
      <w:marBottom w:val="0"/>
      <w:divBdr>
        <w:top w:val="none" w:sz="0" w:space="0" w:color="auto"/>
        <w:left w:val="none" w:sz="0" w:space="0" w:color="auto"/>
        <w:bottom w:val="none" w:sz="0" w:space="0" w:color="auto"/>
        <w:right w:val="none" w:sz="0" w:space="0" w:color="auto"/>
      </w:divBdr>
      <w:divsChild>
        <w:div w:id="791021137">
          <w:marLeft w:val="0"/>
          <w:marRight w:val="0"/>
          <w:marTop w:val="0"/>
          <w:marBottom w:val="0"/>
          <w:divBdr>
            <w:top w:val="none" w:sz="0" w:space="0" w:color="auto"/>
            <w:left w:val="none" w:sz="0" w:space="0" w:color="auto"/>
            <w:bottom w:val="none" w:sz="0" w:space="0" w:color="auto"/>
            <w:right w:val="none" w:sz="0" w:space="0" w:color="auto"/>
          </w:divBdr>
          <w:divsChild>
            <w:div w:id="1213495992">
              <w:marLeft w:val="0"/>
              <w:marRight w:val="0"/>
              <w:marTop w:val="0"/>
              <w:marBottom w:val="0"/>
              <w:divBdr>
                <w:top w:val="none" w:sz="0" w:space="0" w:color="auto"/>
                <w:left w:val="none" w:sz="0" w:space="0" w:color="auto"/>
                <w:bottom w:val="none" w:sz="0" w:space="0" w:color="auto"/>
                <w:right w:val="none" w:sz="0" w:space="0" w:color="auto"/>
              </w:divBdr>
              <w:divsChild>
                <w:div w:id="17921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nxiang.gov.cn/module/download/downfile.jsp?classid=0&amp;filename=1712131050035769459.doc" TargetMode="External"/><Relationship Id="rId3" Type="http://schemas.openxmlformats.org/officeDocument/2006/relationships/webSettings" Target="webSettings.xml"/><Relationship Id="rId7" Type="http://schemas.openxmlformats.org/officeDocument/2006/relationships/hyperlink" Target="http://law.esnai.com/mview/1532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10" Type="http://schemas.openxmlformats.org/officeDocument/2006/relationships/theme" Target="theme/theme1.xml"/><Relationship Id="rId4" Type="http://schemas.openxmlformats.org/officeDocument/2006/relationships/hyperlink" Target="javascript:doZoom(18)"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2018-05-25T09:04:00Z</dcterms:created>
  <dcterms:modified xsi:type="dcterms:W3CDTF">2018-05-25T09:04:00Z</dcterms:modified>
</cp:coreProperties>
</file>