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8306"/>
      </w:tblGrid>
      <w:tr w:rsidR="00792D75" w:rsidRPr="00792D75" w14:paraId="5A9A5822" w14:textId="77777777" w:rsidTr="00792D75">
        <w:trPr>
          <w:tblCellSpacing w:w="15" w:type="dxa"/>
        </w:trPr>
        <w:tc>
          <w:tcPr>
            <w:tcW w:w="0" w:type="auto"/>
            <w:shd w:val="clear" w:color="auto" w:fill="auto"/>
            <w:vAlign w:val="center"/>
            <w:hideMark/>
          </w:tcPr>
          <w:p w14:paraId="6C282182" w14:textId="77777777" w:rsidR="00792D75" w:rsidRPr="00792D75" w:rsidRDefault="00792D75" w:rsidP="00792D75">
            <w:pPr>
              <w:widowControl/>
              <w:spacing w:line="465" w:lineRule="atLeast"/>
              <w:jc w:val="center"/>
              <w:outlineLvl w:val="0"/>
              <w:rPr>
                <w:rFonts w:ascii="宋体" w:eastAsia="宋体" w:hAnsi="宋体" w:cs="宋体"/>
                <w:b/>
                <w:bCs/>
                <w:color w:val="2B2B2B"/>
                <w:spacing w:val="-15"/>
                <w:kern w:val="36"/>
                <w:sz w:val="39"/>
                <w:szCs w:val="39"/>
              </w:rPr>
            </w:pPr>
            <w:r w:rsidRPr="00792D75">
              <w:rPr>
                <w:rFonts w:ascii="宋体" w:eastAsia="宋体" w:hAnsi="宋体" w:cs="宋体" w:hint="eastAsia"/>
                <w:b/>
                <w:bCs/>
                <w:color w:val="2B2B2B"/>
                <w:spacing w:val="-15"/>
                <w:kern w:val="36"/>
                <w:sz w:val="39"/>
                <w:szCs w:val="39"/>
              </w:rPr>
              <w:t>山西省鼓励外商投资优惠政策</w:t>
            </w:r>
          </w:p>
        </w:tc>
      </w:tr>
      <w:tr w:rsidR="00792D75" w:rsidRPr="00792D75" w14:paraId="5B8C0A5D" w14:textId="77777777" w:rsidTr="00792D75">
        <w:trPr>
          <w:tblCellSpacing w:w="15" w:type="dxa"/>
        </w:trPr>
        <w:tc>
          <w:tcPr>
            <w:tcW w:w="0" w:type="auto"/>
            <w:shd w:val="clear" w:color="auto" w:fill="auto"/>
            <w:vAlign w:val="center"/>
            <w:hideMark/>
          </w:tcPr>
          <w:p w14:paraId="6E33FD5F" w14:textId="77777777" w:rsidR="00792D75" w:rsidRPr="00792D75" w:rsidRDefault="00792D75" w:rsidP="00792D75">
            <w:pPr>
              <w:widowControl/>
              <w:jc w:val="center"/>
              <w:rPr>
                <w:rFonts w:ascii="宋体" w:eastAsia="宋体" w:hAnsi="宋体" w:cs="宋体" w:hint="eastAsia"/>
                <w:color w:val="2B2B2B"/>
                <w:kern w:val="0"/>
                <w:sz w:val="18"/>
                <w:szCs w:val="18"/>
              </w:rPr>
            </w:pPr>
            <w:r w:rsidRPr="00792D75">
              <w:rPr>
                <w:rFonts w:ascii="宋体" w:eastAsia="宋体" w:hAnsi="宋体" w:cs="宋体" w:hint="eastAsia"/>
                <w:color w:val="2B2B2B"/>
                <w:kern w:val="0"/>
                <w:sz w:val="18"/>
                <w:szCs w:val="18"/>
              </w:rPr>
              <w:t xml:space="preserve">2012-10-18 查看:2534 </w:t>
            </w:r>
          </w:p>
        </w:tc>
      </w:tr>
      <w:tr w:rsidR="00792D75" w:rsidRPr="00792D75" w14:paraId="5DDB6C18" w14:textId="77777777" w:rsidTr="00792D75">
        <w:trPr>
          <w:tblCellSpacing w:w="15" w:type="dxa"/>
        </w:trPr>
        <w:tc>
          <w:tcPr>
            <w:tcW w:w="0" w:type="auto"/>
            <w:shd w:val="clear" w:color="auto" w:fill="auto"/>
            <w:vAlign w:val="center"/>
            <w:hideMark/>
          </w:tcPr>
          <w:tbl>
            <w:tblPr>
              <w:tblW w:w="0" w:type="auto"/>
              <w:tblCellSpacing w:w="15" w:type="dxa"/>
              <w:tblCellMar>
                <w:left w:w="0" w:type="dxa"/>
                <w:right w:w="0" w:type="dxa"/>
              </w:tblCellMar>
              <w:tblLook w:val="04A0" w:firstRow="1" w:lastRow="0" w:firstColumn="1" w:lastColumn="0" w:noHBand="0" w:noVBand="1"/>
            </w:tblPr>
            <w:tblGrid>
              <w:gridCol w:w="8246"/>
            </w:tblGrid>
            <w:tr w:rsidR="00792D75" w:rsidRPr="00792D75" w14:paraId="3744F783" w14:textId="77777777">
              <w:trPr>
                <w:tblCellSpacing w:w="15" w:type="dxa"/>
              </w:trPr>
              <w:tc>
                <w:tcPr>
                  <w:tcW w:w="0" w:type="auto"/>
                  <w:vAlign w:val="center"/>
                  <w:hideMark/>
                </w:tcPr>
                <w:p w14:paraId="26767E82" w14:textId="77777777" w:rsidR="00792D75" w:rsidRPr="00792D75" w:rsidRDefault="00792D75" w:rsidP="00792D75">
                  <w:pPr>
                    <w:widowControl/>
                    <w:wordWrap w:val="0"/>
                    <w:spacing w:after="225" w:line="360" w:lineRule="atLeast"/>
                    <w:rPr>
                      <w:rFonts w:ascii="宋体" w:eastAsia="宋体" w:hAnsi="宋体" w:cs="宋体" w:hint="eastAsia"/>
                      <w:kern w:val="0"/>
                      <w:sz w:val="24"/>
                      <w:szCs w:val="24"/>
                    </w:rPr>
                  </w:pPr>
                  <w:r w:rsidRPr="00792D75">
                    <w:rPr>
                      <w:rFonts w:ascii="宋体" w:eastAsia="宋体" w:hAnsi="宋体" w:cs="宋体"/>
                      <w:kern w:val="0"/>
                      <w:sz w:val="24"/>
                      <w:szCs w:val="24"/>
                    </w:rPr>
                    <w:t xml:space="preserve">　　一、 地区政策</w:t>
                  </w:r>
                </w:p>
                <w:p w14:paraId="2AE00A35"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日前鼓励外商投资到我省投资的政策主要有：</w:t>
                  </w:r>
                </w:p>
                <w:p w14:paraId="6FF469F1"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1、 对外商到我省投资《外商投资产业指导目录》中限制类和限定外商股权比例项目的设立条件和市场开放度，可比东部地区适当放宽；</w:t>
                  </w:r>
                </w:p>
                <w:p w14:paraId="0E9148D3"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2、 鼓励东部地区的外商投资企业到我省再投资，外商投资比例超过25%的项目，视同外商投资企业，享受相应待遇；</w:t>
                  </w:r>
                </w:p>
                <w:p w14:paraId="76A38D4F"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3、 允许沿海地区的外商投资企业到我省承包经营管理外商投资企业的内资企业；</w:t>
                  </w:r>
                </w:p>
                <w:p w14:paraId="7B70F48D"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4、 对设在我省省经以上经济技术开发区的企业由所在地市政府和开发区管委会给予特殊的优惠政策。对高新技术企业和技术含量的项目给予更加优惠的政策。</w:t>
                  </w:r>
                </w:p>
                <w:p w14:paraId="3762B1F2"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二、 税收政策</w:t>
                  </w:r>
                </w:p>
                <w:p w14:paraId="605159F8"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1、 所得税</w:t>
                  </w:r>
                </w:p>
                <w:p w14:paraId="2BF55CC1"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(1) 实行优惠税率：对外商投资企业所得按30%和税率征收企业所得税，但以在我省太原市设立的企业按24%的税率征收企业所得税，对在我省太原市国家高新技术产业开发区以及省级以上经济技术开发区内设立的企业按15%的税率征收企业所得税；对从事能源、交通基础设施项目的生产性外商投资企业可减按15%的税率征收企业所得税。</w:t>
                  </w:r>
                </w:p>
                <w:p w14:paraId="7EF433E6"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(2) 实行所得税减免：对经营期在10年以上的生产性商投资企业可享受从获利年度起第一至第二年免税，第三至第五年减半征企业所得税的待遇；对国家鼓励的外商投资企业，在5年的减免税期满后，还可延长3年减半征收所得税；对外商投资设立的先进技术型企业，可享受二年免税六年减半征收企业所得税待遇；对出口型企业，除享受上述两免三减所得税优惠外，只要企业年出口额占企业总销售额的70%以上，则均可享受减半征收企业所得税的优惠。减半后的税率低于10%的，按照10%和税率征收企业所得税。外国企业向我境内转让技术，凡属技术先进或者条件优惠的，经国务院税务主管部门批准，免征企业所税。从事《外商投资产业指导目录》中鼓励类项目的外商投资企业，追加投资形成的新增注册资本额达到或者超过6000万美元的，或追加投资形成的新增注册资本额达到或超过1500万美元且达到或超过企业原注册资本50%的，</w:t>
                  </w:r>
                  <w:r w:rsidRPr="00792D75">
                    <w:rPr>
                      <w:rFonts w:ascii="宋体" w:eastAsia="宋体" w:hAnsi="宋体" w:cs="宋体"/>
                      <w:kern w:val="0"/>
                      <w:sz w:val="24"/>
                      <w:szCs w:val="24"/>
                    </w:rPr>
                    <w:lastRenderedPageBreak/>
                    <w:t>其投资者在原合同以外追加投资项目所取得的所得，不单独计算并享受税法第八条第一、</w:t>
                  </w:r>
                  <w:proofErr w:type="gramStart"/>
                  <w:r w:rsidRPr="00792D75">
                    <w:rPr>
                      <w:rFonts w:ascii="宋体" w:eastAsia="宋体" w:hAnsi="宋体" w:cs="宋体"/>
                      <w:kern w:val="0"/>
                      <w:sz w:val="24"/>
                      <w:szCs w:val="24"/>
                    </w:rPr>
                    <w:t>二款所</w:t>
                  </w:r>
                  <w:proofErr w:type="gramEnd"/>
                  <w:r w:rsidRPr="00792D75">
                    <w:rPr>
                      <w:rFonts w:ascii="宋体" w:eastAsia="宋体" w:hAnsi="宋体" w:cs="宋体"/>
                      <w:kern w:val="0"/>
                      <w:sz w:val="24"/>
                      <w:szCs w:val="24"/>
                    </w:rPr>
                    <w:t>规定的企业所得税定期减免优惠。</w:t>
                  </w:r>
                </w:p>
                <w:p w14:paraId="7977EBF2"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(3) 实行所得税退还、抵扣等优惠</w:t>
                  </w:r>
                </w:p>
                <w:p w14:paraId="08A3AA9D"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再投资退税。外商投资企业的外国投资者，将从企业取得的利润直接再投资于该企业，或投资开办其他外商投资企业，经营期不少于5年的，经税务机关批准，退还其他再投资部分已缴纳的所得税的40%税款；直接投资开办、扩建产品出口型或先进技术型外商投资企业，全中退还其他再投资部分已缴纳的企业所得税税款。</w:t>
                  </w:r>
                </w:p>
                <w:p w14:paraId="09D4FAB7"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亏损弥补。外商投资企业和外国在我省境内设立的从事生产、经营的机构发生的年度亏损，可以用下一年度的所得弥补；下一纳税年度的所得不足弥补的，可以逐年延续弥补，但最长不得超过5年。</w:t>
                  </w:r>
                </w:p>
                <w:p w14:paraId="4AA3025D"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购买国产设备投资抵免企业所得税。对外商投资企业和外国企业购买国产设备，符合《外商投资产业指导目录》鼓励类项目，经批准其购买国产设备投资额的40%可以购买设备当年比前一年新增的企业所得税中抵免。</w:t>
                  </w:r>
                </w:p>
                <w:p w14:paraId="6A9E995A"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技术开发费加倍抵扣。外商投资企业技术开发费比上年增长10%，经税务机关批准，允许再按技术开发费实际发生额折50%抵扣当年的应纳税所得税额。对外商投资企业在投资总额内采购国产设备，如该类进口设备属进口免税目录范围，可按规定抵免企业所得税。</w:t>
                  </w:r>
                </w:p>
                <w:p w14:paraId="616DFD4A"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外商投资企业技术开发费比上年增长10%及以上的，经税务机关批准，允许再按技术费实际发生额50%，抵扣当年度的应纳税所得额。具体比照国家税务总局制定的《企业技术开费税前扣除管理办法》执行。</w:t>
                  </w:r>
                </w:p>
                <w:p w14:paraId="539AF9CA"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2、 城市房地产税</w:t>
                  </w:r>
                </w:p>
                <w:p w14:paraId="7B6DA886"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生产性外商投资企业免征城市地产税十年；非生产性外商投资企业免征城市房地产税五年；在我省投资开办产品出口或先进技术型外商投资企业、《外商投资产业指导目录》中的鼓励类项目和我省优势产业的，在经营期内免征城市房地产税。</w:t>
                  </w:r>
                </w:p>
                <w:p w14:paraId="38E71D55"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3、 流转环节税</w:t>
                  </w:r>
                </w:p>
                <w:p w14:paraId="155D1B13"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(自1994年1 月1 日起，对外商投资企业实行与国内企业统一的增值税、消费税、营业税。)</w:t>
                  </w:r>
                </w:p>
                <w:p w14:paraId="2FE46F89"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(1) 营业税：</w:t>
                  </w:r>
                </w:p>
                <w:p w14:paraId="6997A71F"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lastRenderedPageBreak/>
                    <w:t xml:space="preserve">　　外国企业向我境内转让技术免征营业税；外商投资企业(包括外商投资设立的研究开发中心)取得的技术转让收入免征营业税。</w:t>
                  </w:r>
                </w:p>
                <w:p w14:paraId="79F32D9F"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(2) 增值税：</w:t>
                  </w:r>
                </w:p>
                <w:p w14:paraId="012A130B"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对外商投资企业在投资总额内采购国产设备，如该类设备属替代进口设备且属进口免税目录范围，全额退还国产设备增值税并按有关规定抵免企业所得税。</w:t>
                  </w:r>
                </w:p>
                <w:p w14:paraId="46293E39" w14:textId="77777777" w:rsidR="00792D75" w:rsidRPr="00792D75" w:rsidRDefault="00792D75" w:rsidP="00792D75">
                  <w:pPr>
                    <w:widowControl/>
                    <w:wordWrap w:val="0"/>
                    <w:spacing w:after="225" w:line="360" w:lineRule="atLeast"/>
                    <w:rPr>
                      <w:rFonts w:ascii="宋体" w:eastAsia="宋体" w:hAnsi="宋体" w:cs="宋体"/>
                      <w:kern w:val="0"/>
                      <w:sz w:val="24"/>
                      <w:szCs w:val="24"/>
                    </w:rPr>
                  </w:pPr>
                  <w:r w:rsidRPr="00792D75">
                    <w:rPr>
                      <w:rFonts w:ascii="宋体" w:eastAsia="宋体" w:hAnsi="宋体" w:cs="宋体"/>
                      <w:kern w:val="0"/>
                      <w:sz w:val="24"/>
                      <w:szCs w:val="24"/>
                    </w:rPr>
                    <w:t xml:space="preserve">　　4、 进口环节税</w:t>
                  </w:r>
                </w:p>
              </w:tc>
            </w:tr>
          </w:tbl>
          <w:p w14:paraId="6BD8239F" w14:textId="28982997" w:rsidR="00792D75" w:rsidRPr="00792D75" w:rsidRDefault="00792D75" w:rsidP="00792D75">
            <w:pPr>
              <w:widowControl/>
              <w:wordWrap w:val="0"/>
              <w:spacing w:line="420" w:lineRule="atLeast"/>
              <w:rPr>
                <w:rFonts w:ascii="宋体" w:eastAsia="宋体" w:hAnsi="宋体" w:cs="宋体"/>
                <w:color w:val="2B2B2B"/>
                <w:kern w:val="0"/>
                <w:sz w:val="24"/>
                <w:szCs w:val="24"/>
              </w:rPr>
            </w:pPr>
            <w:r w:rsidRPr="00792D75">
              <w:rPr>
                <w:rFonts w:ascii="宋体" w:eastAsia="宋体" w:hAnsi="宋体" w:cs="宋体"/>
                <w:noProof/>
                <w:color w:val="2B2B2B"/>
                <w:kern w:val="0"/>
                <w:sz w:val="24"/>
                <w:szCs w:val="24"/>
              </w:rPr>
              <w:lastRenderedPageBreak/>
              <w:drawing>
                <wp:inline distT="0" distB="0" distL="0" distR="0" wp14:anchorId="33660705" wp14:editId="704BD786">
                  <wp:extent cx="2076450" cy="219075"/>
                  <wp:effectExtent l="0" t="0" r="0" b="9525"/>
                  <wp:docPr id="1" name="图片 1" descr="http://img.zhaoshang.net/data/telephone/policy/zx_qg_1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_policypage_zimg" descr="http://img.zhaoshang.net/data/telephone/policy/zx_qg_122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219075"/>
                          </a:xfrm>
                          <a:prstGeom prst="rect">
                            <a:avLst/>
                          </a:prstGeom>
                          <a:noFill/>
                          <a:ln>
                            <a:noFill/>
                          </a:ln>
                        </pic:spPr>
                      </pic:pic>
                    </a:graphicData>
                  </a:graphic>
                </wp:inline>
              </w:drawing>
            </w:r>
          </w:p>
        </w:tc>
      </w:tr>
    </w:tbl>
    <w:p w14:paraId="4AAEE157"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79"/>
    <w:rsid w:val="00076979"/>
    <w:rsid w:val="00724110"/>
    <w:rsid w:val="0079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1B90C-32F7-436E-81D5-B1FE11AD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92D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D75"/>
    <w:rPr>
      <w:rFonts w:ascii="宋体" w:eastAsia="宋体" w:hAnsi="宋体" w:cs="宋体"/>
      <w:b/>
      <w:bCs/>
      <w:kern w:val="36"/>
      <w:sz w:val="48"/>
      <w:szCs w:val="48"/>
    </w:rPr>
  </w:style>
  <w:style w:type="paragraph" w:customStyle="1" w:styleId="xg1">
    <w:name w:val="xg1"/>
    <w:basedOn w:val="a"/>
    <w:rsid w:val="00792D75"/>
    <w:pPr>
      <w:widowControl/>
      <w:spacing w:before="100" w:beforeAutospacing="1" w:after="100" w:afterAutospacing="1"/>
      <w:jc w:val="left"/>
    </w:pPr>
    <w:rPr>
      <w:rFonts w:ascii="宋体" w:eastAsia="宋体" w:hAnsi="宋体" w:cs="宋体"/>
      <w:kern w:val="0"/>
      <w:sz w:val="24"/>
      <w:szCs w:val="24"/>
    </w:rPr>
  </w:style>
  <w:style w:type="character" w:customStyle="1" w:styleId="pipe">
    <w:name w:val="pipe"/>
    <w:basedOn w:val="a0"/>
    <w:rsid w:val="00792D75"/>
  </w:style>
  <w:style w:type="paragraph" w:styleId="a3">
    <w:name w:val="Normal (Web)"/>
    <w:basedOn w:val="a"/>
    <w:uiPriority w:val="99"/>
    <w:semiHidden/>
    <w:unhideWhenUsed/>
    <w:rsid w:val="00792D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48240">
      <w:bodyDiv w:val="1"/>
      <w:marLeft w:val="0"/>
      <w:marRight w:val="0"/>
      <w:marTop w:val="0"/>
      <w:marBottom w:val="0"/>
      <w:divBdr>
        <w:top w:val="none" w:sz="0" w:space="0" w:color="auto"/>
        <w:left w:val="none" w:sz="0" w:space="0" w:color="auto"/>
        <w:bottom w:val="none" w:sz="0" w:space="0" w:color="auto"/>
        <w:right w:val="none" w:sz="0" w:space="0" w:color="auto"/>
      </w:divBdr>
      <w:divsChild>
        <w:div w:id="348408188">
          <w:marLeft w:val="2340"/>
          <w:marRight w:val="23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2018-05-03T08:18:00Z</dcterms:created>
  <dcterms:modified xsi:type="dcterms:W3CDTF">2018-05-03T08:19:00Z</dcterms:modified>
</cp:coreProperties>
</file>