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9E8" w:rsidRPr="002979E8" w:rsidRDefault="002979E8" w:rsidP="002979E8">
      <w:pPr>
        <w:widowControl/>
        <w:shd w:val="clear" w:color="auto" w:fill="FFFFFF"/>
        <w:jc w:val="center"/>
        <w:outlineLvl w:val="0"/>
        <w:rPr>
          <w:rFonts w:ascii="微软雅黑" w:eastAsia="微软雅黑" w:hAnsi="微软雅黑" w:cs="宋体"/>
          <w:color w:val="EC4204"/>
          <w:kern w:val="36"/>
          <w:sz w:val="30"/>
          <w:szCs w:val="30"/>
        </w:rPr>
      </w:pPr>
      <w:r w:rsidRPr="002979E8">
        <w:rPr>
          <w:rFonts w:ascii="微软雅黑" w:eastAsia="微软雅黑" w:hAnsi="微软雅黑" w:cs="宋体" w:hint="eastAsia"/>
          <w:color w:val="EC4204"/>
          <w:kern w:val="36"/>
          <w:sz w:val="30"/>
          <w:szCs w:val="30"/>
        </w:rPr>
        <w:t>关于加快现代商贸流通服务业发展的意见</w:t>
      </w:r>
    </w:p>
    <w:p w:rsidR="002979E8" w:rsidRPr="002979E8" w:rsidRDefault="002979E8" w:rsidP="002979E8">
      <w:pPr>
        <w:widowControl/>
        <w:shd w:val="clear" w:color="auto" w:fill="FFF5F5"/>
        <w:spacing w:line="660" w:lineRule="atLeast"/>
        <w:jc w:val="center"/>
        <w:rPr>
          <w:rFonts w:ascii="微软雅黑" w:eastAsia="微软雅黑" w:hAnsi="微软雅黑" w:cs="宋体" w:hint="eastAsia"/>
          <w:color w:val="666666"/>
          <w:kern w:val="0"/>
          <w:szCs w:val="21"/>
        </w:rPr>
      </w:pPr>
      <w:r w:rsidRPr="002979E8">
        <w:rPr>
          <w:rFonts w:ascii="微软雅黑" w:eastAsia="微软雅黑" w:hAnsi="微软雅黑" w:cs="宋体" w:hint="eastAsia"/>
          <w:color w:val="666666"/>
          <w:kern w:val="0"/>
          <w:szCs w:val="21"/>
          <w:bdr w:val="none" w:sz="0" w:space="0" w:color="auto" w:frame="1"/>
        </w:rPr>
        <w:t>发布时间： 2013-05-20</w:t>
      </w:r>
      <w:r w:rsidRPr="002979E8">
        <w:rPr>
          <w:rFonts w:ascii="微软雅黑" w:eastAsia="微软雅黑" w:hAnsi="微软雅黑" w:cs="宋体" w:hint="eastAsia"/>
          <w:color w:val="666666"/>
          <w:kern w:val="0"/>
          <w:szCs w:val="21"/>
        </w:rPr>
        <w:t> </w:t>
      </w:r>
      <w:r w:rsidRPr="002979E8">
        <w:rPr>
          <w:rFonts w:ascii="微软雅黑" w:eastAsia="微软雅黑" w:hAnsi="微软雅黑" w:cs="宋体" w:hint="eastAsia"/>
          <w:color w:val="666666"/>
          <w:kern w:val="0"/>
          <w:szCs w:val="21"/>
          <w:bdr w:val="none" w:sz="0" w:space="0" w:color="auto" w:frame="1"/>
        </w:rPr>
        <w:t>    来源： 县商务局       字号：【</w:t>
      </w:r>
      <w:hyperlink r:id="rId4" w:history="1">
        <w:r w:rsidRPr="002979E8">
          <w:rPr>
            <w:rFonts w:ascii="微软雅黑" w:eastAsia="微软雅黑" w:hAnsi="微软雅黑" w:cs="宋体" w:hint="eastAsia"/>
            <w:color w:val="222222"/>
            <w:kern w:val="0"/>
            <w:szCs w:val="21"/>
            <w:bdr w:val="none" w:sz="0" w:space="0" w:color="auto" w:frame="1"/>
          </w:rPr>
          <w:t>大</w:t>
        </w:r>
      </w:hyperlink>
      <w:r w:rsidRPr="002979E8">
        <w:rPr>
          <w:rFonts w:ascii="微软雅黑" w:eastAsia="微软雅黑" w:hAnsi="微软雅黑" w:cs="宋体" w:hint="eastAsia"/>
          <w:color w:val="666666"/>
          <w:kern w:val="0"/>
          <w:szCs w:val="21"/>
          <w:bdr w:val="none" w:sz="0" w:space="0" w:color="auto" w:frame="1"/>
        </w:rPr>
        <w:t> </w:t>
      </w:r>
      <w:hyperlink r:id="rId5" w:history="1">
        <w:r w:rsidRPr="002979E8">
          <w:rPr>
            <w:rFonts w:ascii="微软雅黑" w:eastAsia="微软雅黑" w:hAnsi="微软雅黑" w:cs="宋体" w:hint="eastAsia"/>
            <w:color w:val="222222"/>
            <w:kern w:val="0"/>
            <w:szCs w:val="21"/>
            <w:bdr w:val="none" w:sz="0" w:space="0" w:color="auto" w:frame="1"/>
          </w:rPr>
          <w:t>中</w:t>
        </w:r>
      </w:hyperlink>
      <w:r w:rsidRPr="002979E8">
        <w:rPr>
          <w:rFonts w:ascii="微软雅黑" w:eastAsia="微软雅黑" w:hAnsi="微软雅黑" w:cs="宋体" w:hint="eastAsia"/>
          <w:color w:val="666666"/>
          <w:kern w:val="0"/>
          <w:szCs w:val="21"/>
          <w:bdr w:val="none" w:sz="0" w:space="0" w:color="auto" w:frame="1"/>
        </w:rPr>
        <w:t> </w:t>
      </w:r>
      <w:hyperlink r:id="rId6" w:history="1">
        <w:r w:rsidRPr="002979E8">
          <w:rPr>
            <w:rFonts w:ascii="微软雅黑" w:eastAsia="微软雅黑" w:hAnsi="微软雅黑" w:cs="宋体" w:hint="eastAsia"/>
            <w:color w:val="222222"/>
            <w:kern w:val="0"/>
            <w:szCs w:val="21"/>
            <w:bdr w:val="none" w:sz="0" w:space="0" w:color="auto" w:frame="1"/>
          </w:rPr>
          <w:t>小</w:t>
        </w:r>
      </w:hyperlink>
      <w:r w:rsidRPr="002979E8">
        <w:rPr>
          <w:rFonts w:ascii="微软雅黑" w:eastAsia="微软雅黑" w:hAnsi="微软雅黑" w:cs="宋体" w:hint="eastAsia"/>
          <w:color w:val="666666"/>
          <w:kern w:val="0"/>
          <w:szCs w:val="21"/>
          <w:bdr w:val="none" w:sz="0" w:space="0" w:color="auto" w:frame="1"/>
        </w:rPr>
        <w:t>】</w:t>
      </w:r>
    </w:p>
    <w:p w:rsidR="002979E8" w:rsidRPr="002979E8" w:rsidRDefault="002979E8" w:rsidP="002979E8">
      <w:pPr>
        <w:widowControl/>
        <w:shd w:val="clear" w:color="auto" w:fill="FFFFFF"/>
        <w:jc w:val="left"/>
        <w:rPr>
          <w:rFonts w:ascii="微软雅黑" w:eastAsia="微软雅黑" w:hAnsi="微软雅黑" w:cs="宋体" w:hint="eastAsia"/>
          <w:color w:val="222222"/>
          <w:kern w:val="0"/>
          <w:szCs w:val="21"/>
        </w:rPr>
      </w:pPr>
      <w:r w:rsidRPr="002979E8">
        <w:rPr>
          <w:rFonts w:ascii="微软雅黑" w:eastAsia="微软雅黑" w:hAnsi="微软雅黑" w:cs="宋体" w:hint="eastAsia"/>
          <w:color w:val="222222"/>
          <w:kern w:val="0"/>
          <w:szCs w:val="21"/>
        </w:rPr>
        <w:t> </w:t>
      </w:r>
    </w:p>
    <w:p w:rsidR="002979E8" w:rsidRPr="002979E8" w:rsidRDefault="002979E8" w:rsidP="002979E8">
      <w:pPr>
        <w:widowControl/>
        <w:spacing w:line="450" w:lineRule="atLeast"/>
        <w:jc w:val="center"/>
        <w:rPr>
          <w:rFonts w:ascii="微软雅黑" w:eastAsia="微软雅黑" w:hAnsi="微软雅黑" w:cs="宋体" w:hint="eastAsia"/>
          <w:color w:val="222222"/>
          <w:kern w:val="0"/>
          <w:szCs w:val="21"/>
        </w:rPr>
      </w:pPr>
      <w:proofErr w:type="gramStart"/>
      <w:r w:rsidRPr="002979E8">
        <w:rPr>
          <w:rFonts w:ascii="仿宋_GB2312" w:eastAsia="仿宋_GB2312" w:hAnsi="微软雅黑" w:cs="宋体" w:hint="eastAsia"/>
          <w:color w:val="000000"/>
          <w:kern w:val="0"/>
          <w:sz w:val="32"/>
          <w:szCs w:val="32"/>
          <w:bdr w:val="none" w:sz="0" w:space="0" w:color="auto" w:frame="1"/>
        </w:rPr>
        <w:t>婺</w:t>
      </w:r>
      <w:proofErr w:type="gramEnd"/>
      <w:r w:rsidRPr="002979E8">
        <w:rPr>
          <w:rFonts w:ascii="仿宋_GB2312" w:eastAsia="仿宋_GB2312" w:hAnsi="微软雅黑" w:cs="宋体" w:hint="eastAsia"/>
          <w:color w:val="000000"/>
          <w:kern w:val="0"/>
          <w:sz w:val="32"/>
          <w:szCs w:val="32"/>
          <w:bdr w:val="none" w:sz="0" w:space="0" w:color="auto" w:frame="1"/>
        </w:rPr>
        <w:t>办发〔2013〕3号</w:t>
      </w:r>
    </w:p>
    <w:p w:rsidR="002979E8" w:rsidRPr="002979E8" w:rsidRDefault="002979E8" w:rsidP="002979E8">
      <w:pPr>
        <w:widowControl/>
        <w:spacing w:line="450" w:lineRule="atLeast"/>
        <w:jc w:val="center"/>
        <w:rPr>
          <w:rFonts w:ascii="微软雅黑" w:eastAsia="微软雅黑" w:hAnsi="微软雅黑" w:cs="宋体" w:hint="eastAsia"/>
          <w:color w:val="222222"/>
          <w:kern w:val="0"/>
          <w:szCs w:val="21"/>
        </w:rPr>
      </w:pPr>
      <w:r w:rsidRPr="002979E8">
        <w:rPr>
          <w:rFonts w:ascii="微软雅黑" w:eastAsia="微软雅黑" w:hAnsi="微软雅黑" w:cs="宋体" w:hint="eastAsia"/>
          <w:color w:val="222222"/>
          <w:kern w:val="0"/>
          <w:szCs w:val="21"/>
        </w:rPr>
        <w:t> </w:t>
      </w:r>
    </w:p>
    <w:p w:rsidR="002979E8" w:rsidRPr="002979E8" w:rsidRDefault="002979E8" w:rsidP="002979E8">
      <w:pPr>
        <w:widowControl/>
        <w:spacing w:line="450" w:lineRule="atLeast"/>
        <w:jc w:val="center"/>
        <w:rPr>
          <w:rFonts w:ascii="微软雅黑" w:eastAsia="微软雅黑" w:hAnsi="微软雅黑" w:cs="宋体" w:hint="eastAsia"/>
          <w:color w:val="222222"/>
          <w:kern w:val="0"/>
          <w:szCs w:val="21"/>
        </w:rPr>
      </w:pPr>
      <w:r w:rsidRPr="002979E8">
        <w:rPr>
          <w:rFonts w:ascii="方正小标宋简体" w:eastAsia="方正小标宋简体" w:hAnsi="微软雅黑" w:cs="宋体" w:hint="eastAsia"/>
          <w:color w:val="000000"/>
          <w:kern w:val="0"/>
          <w:sz w:val="44"/>
          <w:szCs w:val="44"/>
          <w:bdr w:val="none" w:sz="0" w:space="0" w:color="auto" w:frame="1"/>
        </w:rPr>
        <w:t>中共婺源县委办公室</w:t>
      </w:r>
      <w:r w:rsidRPr="002979E8">
        <w:rPr>
          <w:rFonts w:ascii="方正小标宋简体" w:eastAsia="方正小标宋简体" w:hAnsi="微软雅黑" w:cs="宋体" w:hint="eastAsia"/>
          <w:color w:val="000000"/>
          <w:kern w:val="0"/>
          <w:sz w:val="44"/>
          <w:szCs w:val="44"/>
          <w:bdr w:val="none" w:sz="0" w:space="0" w:color="auto" w:frame="1"/>
        </w:rPr>
        <w:t>  </w:t>
      </w:r>
      <w:r w:rsidRPr="002979E8">
        <w:rPr>
          <w:rFonts w:ascii="方正小标宋简体" w:eastAsia="方正小标宋简体" w:hAnsi="微软雅黑" w:cs="宋体" w:hint="eastAsia"/>
          <w:color w:val="000000"/>
          <w:kern w:val="0"/>
          <w:sz w:val="44"/>
          <w:szCs w:val="44"/>
          <w:bdr w:val="none" w:sz="0" w:space="0" w:color="auto" w:frame="1"/>
        </w:rPr>
        <w:t>婺源县人民政府办公室</w:t>
      </w:r>
    </w:p>
    <w:p w:rsidR="002979E8" w:rsidRPr="002979E8" w:rsidRDefault="002979E8" w:rsidP="002979E8">
      <w:pPr>
        <w:widowControl/>
        <w:spacing w:line="450" w:lineRule="atLeast"/>
        <w:jc w:val="center"/>
        <w:rPr>
          <w:rFonts w:ascii="微软雅黑" w:eastAsia="微软雅黑" w:hAnsi="微软雅黑" w:cs="宋体" w:hint="eastAsia"/>
          <w:color w:val="222222"/>
          <w:kern w:val="0"/>
          <w:szCs w:val="21"/>
        </w:rPr>
      </w:pPr>
      <w:r w:rsidRPr="002979E8">
        <w:rPr>
          <w:rFonts w:ascii="微软雅黑" w:eastAsia="微软雅黑" w:hAnsi="微软雅黑" w:cs="宋体" w:hint="eastAsia"/>
          <w:color w:val="222222"/>
          <w:kern w:val="0"/>
          <w:szCs w:val="21"/>
        </w:rPr>
        <w:t> </w:t>
      </w:r>
    </w:p>
    <w:p w:rsidR="002979E8" w:rsidRPr="002979E8" w:rsidRDefault="002979E8" w:rsidP="002979E8">
      <w:pPr>
        <w:widowControl/>
        <w:spacing w:line="450" w:lineRule="atLeast"/>
        <w:jc w:val="center"/>
        <w:rPr>
          <w:rFonts w:ascii="微软雅黑" w:eastAsia="微软雅黑" w:hAnsi="微软雅黑" w:cs="宋体" w:hint="eastAsia"/>
          <w:color w:val="222222"/>
          <w:kern w:val="0"/>
          <w:szCs w:val="21"/>
        </w:rPr>
      </w:pPr>
      <w:bookmarkStart w:id="0" w:name="_GoBack"/>
      <w:r w:rsidRPr="002979E8">
        <w:rPr>
          <w:rFonts w:ascii="方正小标宋简体" w:eastAsia="方正小标宋简体" w:hAnsi="微软雅黑" w:cs="宋体" w:hint="eastAsia"/>
          <w:color w:val="000000"/>
          <w:kern w:val="0"/>
          <w:sz w:val="44"/>
          <w:szCs w:val="44"/>
          <w:bdr w:val="none" w:sz="0" w:space="0" w:color="auto" w:frame="1"/>
        </w:rPr>
        <w:t>关于加快现代商贸流通服务业发展的意见</w:t>
      </w:r>
    </w:p>
    <w:bookmarkEnd w:id="0"/>
    <w:p w:rsidR="002979E8" w:rsidRPr="002979E8" w:rsidRDefault="002979E8" w:rsidP="002979E8">
      <w:pPr>
        <w:widowControl/>
        <w:spacing w:line="450" w:lineRule="atLeast"/>
        <w:jc w:val="left"/>
        <w:rPr>
          <w:rFonts w:ascii="微软雅黑" w:eastAsia="微软雅黑" w:hAnsi="微软雅黑" w:cs="宋体" w:hint="eastAsia"/>
          <w:color w:val="222222"/>
          <w:kern w:val="0"/>
          <w:szCs w:val="21"/>
        </w:rPr>
      </w:pPr>
      <w:r w:rsidRPr="002979E8">
        <w:rPr>
          <w:rFonts w:ascii="微软雅黑" w:eastAsia="微软雅黑" w:hAnsi="微软雅黑" w:cs="宋体" w:hint="eastAsia"/>
          <w:color w:val="222222"/>
          <w:kern w:val="0"/>
          <w:szCs w:val="21"/>
        </w:rPr>
        <w:t> </w:t>
      </w:r>
    </w:p>
    <w:p w:rsidR="002979E8" w:rsidRPr="002979E8" w:rsidRDefault="002979E8" w:rsidP="002979E8">
      <w:pPr>
        <w:widowControl/>
        <w:spacing w:line="450" w:lineRule="atLeast"/>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各乡（镇）党委、政府，</w:t>
      </w:r>
      <w:proofErr w:type="gramStart"/>
      <w:r w:rsidRPr="002979E8">
        <w:rPr>
          <w:rFonts w:ascii="仿宋_GB2312" w:eastAsia="仿宋_GB2312" w:hAnsi="微软雅黑" w:cs="宋体" w:hint="eastAsia"/>
          <w:color w:val="000000"/>
          <w:kern w:val="0"/>
          <w:sz w:val="32"/>
          <w:szCs w:val="32"/>
          <w:bdr w:val="none" w:sz="0" w:space="0" w:color="auto" w:frame="1"/>
        </w:rPr>
        <w:t>蚺</w:t>
      </w:r>
      <w:proofErr w:type="gramEnd"/>
      <w:r w:rsidRPr="002979E8">
        <w:rPr>
          <w:rFonts w:ascii="仿宋_GB2312" w:eastAsia="仿宋_GB2312" w:hAnsi="微软雅黑" w:cs="宋体" w:hint="eastAsia"/>
          <w:color w:val="000000"/>
          <w:kern w:val="0"/>
          <w:sz w:val="32"/>
          <w:szCs w:val="32"/>
          <w:bdr w:val="none" w:sz="0" w:space="0" w:color="auto" w:frame="1"/>
        </w:rPr>
        <w:t>城街道党工委、办事处,县委各部门，县直各单位：</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为大力发展现代商贸流通服务业，做大经济总量、提升经济实力，促进县域经济发展，实现“建设中国最美乡村，争创中国旅游第一县”奋斗目标，经2013年2月7日县委常委（扩大）会议和2月6日县政府第23次常务会议研究同意，现就加快发展现代商贸流通服务业提出以下意见。</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黑体" w:eastAsia="黑体" w:hAnsi="黑体" w:cs="宋体" w:hint="eastAsia"/>
          <w:color w:val="000000"/>
          <w:kern w:val="0"/>
          <w:sz w:val="32"/>
          <w:szCs w:val="32"/>
          <w:bdr w:val="none" w:sz="0" w:space="0" w:color="auto" w:frame="1"/>
        </w:rPr>
        <w:t>一、指导思想和目标任务</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（一）指导思想：</w:t>
      </w:r>
      <w:r w:rsidRPr="002979E8">
        <w:rPr>
          <w:rFonts w:ascii="仿宋_GB2312" w:eastAsia="仿宋_GB2312" w:hAnsi="微软雅黑" w:cs="宋体" w:hint="eastAsia"/>
          <w:color w:val="000000"/>
          <w:kern w:val="0"/>
          <w:sz w:val="32"/>
          <w:szCs w:val="32"/>
          <w:bdr w:val="none" w:sz="0" w:space="0" w:color="auto" w:frame="1"/>
        </w:rPr>
        <w:t>深入贯彻落实党的十八大精神，围绕“建设中国最美乡村，争创中国旅游第一县”奋斗目</w:t>
      </w:r>
      <w:r w:rsidRPr="002979E8">
        <w:rPr>
          <w:rFonts w:ascii="仿宋_GB2312" w:eastAsia="仿宋_GB2312" w:hAnsi="微软雅黑" w:cs="宋体" w:hint="eastAsia"/>
          <w:color w:val="000000"/>
          <w:kern w:val="0"/>
          <w:sz w:val="32"/>
          <w:szCs w:val="32"/>
          <w:bdr w:val="none" w:sz="0" w:space="0" w:color="auto" w:frame="1"/>
        </w:rPr>
        <w:lastRenderedPageBreak/>
        <w:t>标，抓住婺源被列为全省服务业综合改革试点县的机遇，着力发展现代商贸流通服务业工作，做大县域经济总量。</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（二）发展目标：</w:t>
      </w:r>
      <w:r w:rsidRPr="002979E8">
        <w:rPr>
          <w:rFonts w:ascii="仿宋_GB2312" w:eastAsia="仿宋_GB2312" w:hAnsi="微软雅黑" w:cs="宋体" w:hint="eastAsia"/>
          <w:color w:val="000000"/>
          <w:kern w:val="0"/>
          <w:sz w:val="32"/>
          <w:szCs w:val="32"/>
          <w:bdr w:val="none" w:sz="0" w:space="0" w:color="auto" w:frame="1"/>
        </w:rPr>
        <w:t>“十二五”期间，现代商贸流通服务业增加值增速快于全县GDP增速，到“十二五”期末增加值翻一番以上，实现税收占全县税收的比重达到20%以上。</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黑体" w:eastAsia="黑体" w:hAnsi="黑体" w:cs="宋体" w:hint="eastAsia"/>
          <w:color w:val="000000"/>
          <w:kern w:val="0"/>
          <w:sz w:val="32"/>
          <w:szCs w:val="32"/>
          <w:bdr w:val="none" w:sz="0" w:space="0" w:color="auto" w:frame="1"/>
        </w:rPr>
        <w:t>二、现代商贸流通服务业企业的认定</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现代商贸流通服务业企业是指在我县注册并依法开展经营活动，对其控股企业或分支机构（以下称下属企业）行使管理和服务职能并在我县纳税的企业法人机构，企业的投资主体、经济性质不限。</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认定现代商贸流通服务业企业须同时符合以下三个条件：</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一）企业在婺源县设立决策中心、结算中心、研发中心、营销中心、贸易中心、设计策划中心、培训中心等机构，并在婺源县办理工商注册和税务登记注册的新企业（不含婺源县内原有企业和占用婺源资源的企业）；</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（二）入驻企业每年度在婺源县缴纳增值税、营业税等各项税收总额在10万元以上。</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（三）缴纳增值税的入驻企业应认定为增值税一般纳税人。</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黑体" w:eastAsia="黑体" w:hAnsi="黑体" w:cs="宋体" w:hint="eastAsia"/>
          <w:color w:val="000000"/>
          <w:kern w:val="0"/>
          <w:sz w:val="32"/>
          <w:szCs w:val="32"/>
          <w:bdr w:val="none" w:sz="0" w:space="0" w:color="auto" w:frame="1"/>
        </w:rPr>
        <w:t>三、政策扶持</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lastRenderedPageBreak/>
        <w:t>（一）财税扶持。</w:t>
      </w:r>
      <w:r w:rsidRPr="002979E8">
        <w:rPr>
          <w:rFonts w:ascii="仿宋_GB2312" w:eastAsia="仿宋_GB2312" w:hAnsi="微软雅黑" w:cs="宋体" w:hint="eastAsia"/>
          <w:color w:val="000000"/>
          <w:kern w:val="0"/>
          <w:sz w:val="32"/>
          <w:szCs w:val="32"/>
          <w:bdr w:val="none" w:sz="0" w:space="0" w:color="auto" w:frame="1"/>
        </w:rPr>
        <w:t>县财政设立专项资金用于奖励扶持现代商贸流通服务业企业发展，对经认定的现代商贸流通服务业企业实行财税奖励。财税奖励由县财政局按当月</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入库的金额</w:t>
      </w:r>
      <w:proofErr w:type="gramStart"/>
      <w:r w:rsidRPr="002979E8">
        <w:rPr>
          <w:rFonts w:ascii="仿宋_GB2312" w:eastAsia="仿宋_GB2312" w:hAnsi="微软雅黑" w:cs="宋体" w:hint="eastAsia"/>
          <w:color w:val="000000"/>
          <w:kern w:val="0"/>
          <w:sz w:val="32"/>
          <w:szCs w:val="32"/>
          <w:bdr w:val="none" w:sz="0" w:space="0" w:color="auto" w:frame="1"/>
        </w:rPr>
        <w:t>依以下</w:t>
      </w:r>
      <w:proofErr w:type="gramEnd"/>
      <w:r w:rsidRPr="002979E8">
        <w:rPr>
          <w:rFonts w:ascii="仿宋_GB2312" w:eastAsia="仿宋_GB2312" w:hAnsi="微软雅黑" w:cs="宋体" w:hint="eastAsia"/>
          <w:color w:val="000000"/>
          <w:kern w:val="0"/>
          <w:sz w:val="32"/>
          <w:szCs w:val="32"/>
          <w:bdr w:val="none" w:sz="0" w:space="0" w:color="auto" w:frame="1"/>
        </w:rPr>
        <w:t>第一条一至六款规定，次月初给予兑现，年底按净入库累计数清算奖励差额。</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1.</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对年纳税10万元—100万元（不含上限100万元，下同）的现代商贸流通服务业企业，按</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入库增值税的20%、营业税的70%、企业所得税和个人所得税的30%、城建税地方所得的60%、印花税地方所得的100%、车船税的100%进行奖励。</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2.</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对年纳税100万元—300万元的，按</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入库增值税的20%、营业税的75%、企业所得税和个人所得税的30%、城建税地方所得的70%、印花税地方所得的100%、车船税的100%进行奖励。</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3.</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对年纳税300万元—500万元的，按</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入库增值税的21%、营业税的80%、企业所得税和个人所得税的30%、城建税地方所得的80%、印花税地方所得的100%、车船税的100%进行奖励。</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4.</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对年纳税500万元—1000万元的，按</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入库增值税的22%、营业税的90%、企业所得税和个人所得税的30%、城建税地方所得的90%、印花税地方所得的100%、车船税的100%进行奖励。</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lastRenderedPageBreak/>
        <w:t>5.</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对年纳税1000万元—3000万元的，按</w:t>
      </w:r>
      <w:proofErr w:type="gramStart"/>
      <w:r w:rsidRPr="002979E8">
        <w:rPr>
          <w:rFonts w:ascii="仿宋_GB2312" w:eastAsia="仿宋_GB2312" w:hAnsi="微软雅黑" w:cs="宋体" w:hint="eastAsia"/>
          <w:color w:val="000000"/>
          <w:kern w:val="0"/>
          <w:sz w:val="32"/>
          <w:szCs w:val="32"/>
          <w:bdr w:val="none" w:sz="0" w:space="0" w:color="auto" w:frame="1"/>
        </w:rPr>
        <w:t>实际净</w:t>
      </w:r>
      <w:proofErr w:type="gramEnd"/>
      <w:r w:rsidRPr="002979E8">
        <w:rPr>
          <w:rFonts w:ascii="仿宋_GB2312" w:eastAsia="仿宋_GB2312" w:hAnsi="微软雅黑" w:cs="宋体" w:hint="eastAsia"/>
          <w:color w:val="000000"/>
          <w:kern w:val="0"/>
          <w:sz w:val="32"/>
          <w:szCs w:val="32"/>
          <w:bdr w:val="none" w:sz="0" w:space="0" w:color="auto" w:frame="1"/>
        </w:rPr>
        <w:t>入库增值税的23%、营业税的100%、企业所得税和个人所得税的30%、城建税地方所得的100%、印花税地方所得的100%、车船税的100%进行奖励。</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6.</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对年纳税3000万元以上的，实行“</w:t>
      </w:r>
      <w:proofErr w:type="gramStart"/>
      <w:r w:rsidRPr="002979E8">
        <w:rPr>
          <w:rFonts w:ascii="仿宋_GB2312" w:eastAsia="仿宋_GB2312" w:hAnsi="微软雅黑" w:cs="宋体" w:hint="eastAsia"/>
          <w:color w:val="000000"/>
          <w:kern w:val="0"/>
          <w:sz w:val="32"/>
          <w:szCs w:val="32"/>
          <w:bdr w:val="none" w:sz="0" w:space="0" w:color="auto" w:frame="1"/>
        </w:rPr>
        <w:t>一</w:t>
      </w:r>
      <w:proofErr w:type="gramEnd"/>
      <w:r w:rsidRPr="002979E8">
        <w:rPr>
          <w:rFonts w:ascii="仿宋_GB2312" w:eastAsia="仿宋_GB2312" w:hAnsi="微软雅黑" w:cs="宋体" w:hint="eastAsia"/>
          <w:color w:val="000000"/>
          <w:kern w:val="0"/>
          <w:sz w:val="32"/>
          <w:szCs w:val="32"/>
          <w:bdr w:val="none" w:sz="0" w:space="0" w:color="auto" w:frame="1"/>
        </w:rPr>
        <w:t>企一议”。</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享受奖励扶持政策的对象是指符合现代商贸流通服务业企业认定条件，经婺源县发展现代商贸流通服务业工作领导小组认定为我县现代商贸流通服务业的企业。已享受本奖励扶持政策的企业，不再享受婺源县其他税收奖励政策。</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（二）优化服务。</w:t>
      </w:r>
      <w:r w:rsidRPr="002979E8">
        <w:rPr>
          <w:rFonts w:ascii="仿宋_GB2312" w:eastAsia="仿宋_GB2312" w:hAnsi="微软雅黑" w:cs="宋体" w:hint="eastAsia"/>
          <w:color w:val="000000"/>
          <w:kern w:val="0"/>
          <w:sz w:val="32"/>
          <w:szCs w:val="32"/>
          <w:bdr w:val="none" w:sz="0" w:space="0" w:color="auto" w:frame="1"/>
        </w:rPr>
        <w:t>有关部门要结合本部门职能制定支持现代商贸流通服务业发展的具体措施，报婺源县发展现代商贸流通服务业工作领导小组，对落户我县的现代商贸流通服务业企业开设“绿色通道”办理各项证照。</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（三）支持重点现代商贸流通服务业企业做大做强。</w:t>
      </w:r>
      <w:r w:rsidRPr="002979E8">
        <w:rPr>
          <w:rFonts w:ascii="仿宋_GB2312" w:eastAsia="仿宋_GB2312" w:hAnsi="微软雅黑" w:cs="宋体" w:hint="eastAsia"/>
          <w:color w:val="000000"/>
          <w:kern w:val="0"/>
          <w:sz w:val="32"/>
          <w:szCs w:val="32"/>
          <w:bdr w:val="none" w:sz="0" w:space="0" w:color="auto" w:frame="1"/>
        </w:rPr>
        <w:t>对年纳税1000万元以上的现代商贸流通服务业企业，县委、县政府在政策上予以重点支持，培育现代商贸流通服务业孵化中心，做大做强婺源县总部经济园。</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黑体" w:eastAsia="黑体" w:hAnsi="黑体" w:cs="宋体" w:hint="eastAsia"/>
          <w:color w:val="000000"/>
          <w:kern w:val="0"/>
          <w:sz w:val="32"/>
          <w:szCs w:val="32"/>
          <w:bdr w:val="none" w:sz="0" w:space="0" w:color="auto" w:frame="1"/>
        </w:rPr>
        <w:t>四、保障机制</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（一）加强组织领导。</w:t>
      </w:r>
      <w:r w:rsidRPr="002979E8">
        <w:rPr>
          <w:rFonts w:ascii="仿宋_GB2312" w:eastAsia="仿宋_GB2312" w:hAnsi="微软雅黑" w:cs="宋体" w:hint="eastAsia"/>
          <w:color w:val="000000"/>
          <w:kern w:val="0"/>
          <w:sz w:val="32"/>
          <w:szCs w:val="32"/>
          <w:bdr w:val="none" w:sz="0" w:space="0" w:color="auto" w:frame="1"/>
        </w:rPr>
        <w:t>县委、县政府成立婺源县发展现代商贸流通服务业工作领导小组，负责统筹、指导、协</w:t>
      </w:r>
      <w:r w:rsidRPr="002979E8">
        <w:rPr>
          <w:rFonts w:ascii="仿宋_GB2312" w:eastAsia="仿宋_GB2312" w:hAnsi="微软雅黑" w:cs="宋体" w:hint="eastAsia"/>
          <w:color w:val="000000"/>
          <w:kern w:val="0"/>
          <w:sz w:val="32"/>
          <w:szCs w:val="32"/>
          <w:bdr w:val="none" w:sz="0" w:space="0" w:color="auto" w:frame="1"/>
        </w:rPr>
        <w:lastRenderedPageBreak/>
        <w:t>调现代商贸流通服务业发展工作，领导小组下设办公室（设在县商务局），由县商务局局长兼任办公室主任。</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（二）强化统计监测。</w:t>
      </w:r>
      <w:r w:rsidRPr="002979E8">
        <w:rPr>
          <w:rFonts w:ascii="仿宋_GB2312" w:eastAsia="仿宋_GB2312" w:hAnsi="微软雅黑" w:cs="宋体" w:hint="eastAsia"/>
          <w:color w:val="000000"/>
          <w:kern w:val="0"/>
          <w:sz w:val="32"/>
          <w:szCs w:val="32"/>
          <w:bdr w:val="none" w:sz="0" w:space="0" w:color="auto" w:frame="1"/>
        </w:rPr>
        <w:t>各相关单位要指定联络员按月定期向县发展现代商贸流通服务业工作领导小组办公室报送统计数据及相关信息。县发展现代商贸流通服务业工作领导小组办公室每月及时公布各相关单位发展现代商贸流通服务业工作进展。同时，切实加强发展现代商贸流通服务业的形势分析和监测，为县委、县政府决策、部门监管和企业经营提供准确信息。</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（三）强化考核督查。</w:t>
      </w:r>
      <w:r w:rsidRPr="002979E8">
        <w:rPr>
          <w:rFonts w:ascii="仿宋_GB2312" w:eastAsia="仿宋_GB2312" w:hAnsi="微软雅黑" w:cs="宋体" w:hint="eastAsia"/>
          <w:color w:val="000000"/>
          <w:kern w:val="0"/>
          <w:sz w:val="32"/>
          <w:szCs w:val="32"/>
          <w:bdr w:val="none" w:sz="0" w:space="0" w:color="auto" w:frame="1"/>
        </w:rPr>
        <w:t>制定全县加快发展现代商贸流通服务业考核办法，加强对各乡（镇、街道）、县直单位的绩效考核。县委、县政府安排专项资金设立年度发展现代商贸流通服务业目标考核奖，对考核获得先进的乡（镇、街道）、县直单位及个人由县委、县政府给予表彰和奖励。对考核不合格的单位给予通报批评。进一步规范现代商贸流通服务业发展秩序，坚决杜绝把县内企业认定为现代商贸流通服务业企业，扰乱税收征管秩序，一经发现，严肃追究相关单位和人员的责任，本项工作年度考核成绩计零分。</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楷体_GB2312" w:eastAsia="楷体_GB2312" w:hAnsi="微软雅黑" w:cs="宋体" w:hint="eastAsia"/>
          <w:b/>
          <w:bCs/>
          <w:color w:val="000000"/>
          <w:kern w:val="0"/>
          <w:sz w:val="32"/>
          <w:szCs w:val="32"/>
          <w:bdr w:val="none" w:sz="0" w:space="0" w:color="auto" w:frame="1"/>
        </w:rPr>
        <w:t>（四）强化责任落实。</w:t>
      </w:r>
      <w:r w:rsidRPr="002979E8">
        <w:rPr>
          <w:rFonts w:ascii="仿宋_GB2312" w:eastAsia="仿宋_GB2312" w:hAnsi="微软雅黑" w:cs="宋体" w:hint="eastAsia"/>
          <w:color w:val="000000"/>
          <w:kern w:val="0"/>
          <w:sz w:val="32"/>
          <w:szCs w:val="32"/>
          <w:bdr w:val="none" w:sz="0" w:space="0" w:color="auto" w:frame="1"/>
        </w:rPr>
        <w:t>各单位要制定方案，明确目标，落实责任，指定专人负责现代商贸流通服务业发展工作。</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黑体" w:eastAsia="黑体" w:hAnsi="黑体" w:cs="宋体" w:hint="eastAsia"/>
          <w:color w:val="000000"/>
          <w:kern w:val="0"/>
          <w:sz w:val="32"/>
          <w:szCs w:val="32"/>
          <w:bdr w:val="none" w:sz="0" w:space="0" w:color="auto" w:frame="1"/>
        </w:rPr>
        <w:lastRenderedPageBreak/>
        <w:t>五、其他</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一）对原已认定的总部经济企业，经复核并经婺源县发展现代商贸流通服务业工作领导小组审查批准后转为现代商贸流通服务业企业。如年度复核不符合认定条件，或因涉税及其他违法行为受到行政或法律处罚的，则不再享受相关优惠政策。经认定的现代商贸流通服务业企业发生更名、重组等重大调整的，应在办理相关手续后10个工作日内报县发展现代商贸流通服务业工作领导小组重新审核确认。</w:t>
      </w:r>
    </w:p>
    <w:p w:rsidR="002979E8" w:rsidRPr="002979E8" w:rsidRDefault="002979E8" w:rsidP="002979E8">
      <w:pPr>
        <w:widowControl/>
        <w:spacing w:line="450" w:lineRule="atLeast"/>
        <w:ind w:firstLine="640"/>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（二）</w:t>
      </w:r>
      <w:proofErr w:type="gramStart"/>
      <w:r w:rsidRPr="002979E8">
        <w:rPr>
          <w:rFonts w:ascii="仿宋_GB2312" w:eastAsia="仿宋_GB2312" w:hAnsi="微软雅黑" w:cs="宋体" w:hint="eastAsia"/>
          <w:color w:val="000000"/>
          <w:kern w:val="0"/>
          <w:sz w:val="32"/>
          <w:szCs w:val="32"/>
          <w:bdr w:val="none" w:sz="0" w:space="0" w:color="auto" w:frame="1"/>
        </w:rPr>
        <w:t>本意见自发文</w:t>
      </w:r>
      <w:proofErr w:type="gramEnd"/>
      <w:r w:rsidRPr="002979E8">
        <w:rPr>
          <w:rFonts w:ascii="仿宋_GB2312" w:eastAsia="仿宋_GB2312" w:hAnsi="微软雅黑" w:cs="宋体" w:hint="eastAsia"/>
          <w:color w:val="000000"/>
          <w:kern w:val="0"/>
          <w:sz w:val="32"/>
          <w:szCs w:val="32"/>
          <w:bdr w:val="none" w:sz="0" w:space="0" w:color="auto" w:frame="1"/>
        </w:rPr>
        <w:t>之日起实行，由县商务局、县财政局负责解释，其中现代商贸流通服务业企业认定工作有关事宜由县商务局负责解释，奖励政策及兑现程序由县财政局负责解释。《婺源县总部经济企业认定办法（试行）》</w:t>
      </w:r>
      <w:proofErr w:type="gramStart"/>
      <w:r w:rsidRPr="002979E8">
        <w:rPr>
          <w:rFonts w:ascii="仿宋_GB2312" w:eastAsia="仿宋_GB2312" w:hAnsi="微软雅黑" w:cs="宋体" w:hint="eastAsia"/>
          <w:color w:val="000000"/>
          <w:kern w:val="0"/>
          <w:sz w:val="32"/>
          <w:szCs w:val="32"/>
          <w:bdr w:val="none" w:sz="0" w:space="0" w:color="auto" w:frame="1"/>
        </w:rPr>
        <w:t>婺</w:t>
      </w:r>
      <w:proofErr w:type="gramEnd"/>
      <w:r w:rsidRPr="002979E8">
        <w:rPr>
          <w:rFonts w:ascii="仿宋_GB2312" w:eastAsia="仿宋_GB2312" w:hAnsi="微软雅黑" w:cs="宋体" w:hint="eastAsia"/>
          <w:color w:val="000000"/>
          <w:kern w:val="0"/>
          <w:sz w:val="32"/>
          <w:szCs w:val="32"/>
          <w:bdr w:val="none" w:sz="0" w:space="0" w:color="auto" w:frame="1"/>
        </w:rPr>
        <w:t>办发〔2012〕3号、《婺源县总部经济企业奖励政策（试行）》</w:t>
      </w:r>
      <w:proofErr w:type="gramStart"/>
      <w:r w:rsidRPr="002979E8">
        <w:rPr>
          <w:rFonts w:ascii="仿宋_GB2312" w:eastAsia="仿宋_GB2312" w:hAnsi="微软雅黑" w:cs="宋体" w:hint="eastAsia"/>
          <w:color w:val="000000"/>
          <w:kern w:val="0"/>
          <w:sz w:val="32"/>
          <w:szCs w:val="32"/>
          <w:bdr w:val="none" w:sz="0" w:space="0" w:color="auto" w:frame="1"/>
        </w:rPr>
        <w:t>婺</w:t>
      </w:r>
      <w:proofErr w:type="gramEnd"/>
      <w:r w:rsidRPr="002979E8">
        <w:rPr>
          <w:rFonts w:ascii="仿宋_GB2312" w:eastAsia="仿宋_GB2312" w:hAnsi="微软雅黑" w:cs="宋体" w:hint="eastAsia"/>
          <w:color w:val="000000"/>
          <w:kern w:val="0"/>
          <w:sz w:val="32"/>
          <w:szCs w:val="32"/>
          <w:bdr w:val="none" w:sz="0" w:space="0" w:color="auto" w:frame="1"/>
        </w:rPr>
        <w:t>办发〔2012〕2号两个文件自本意见实行之日同时废止。</w:t>
      </w:r>
    </w:p>
    <w:p w:rsidR="002979E8" w:rsidRPr="002979E8" w:rsidRDefault="002979E8" w:rsidP="002979E8">
      <w:pPr>
        <w:widowControl/>
        <w:spacing w:line="450" w:lineRule="atLeast"/>
        <w:jc w:val="right"/>
        <w:rPr>
          <w:rFonts w:ascii="微软雅黑" w:eastAsia="微软雅黑" w:hAnsi="微软雅黑" w:cs="宋体" w:hint="eastAsia"/>
          <w:color w:val="222222"/>
          <w:kern w:val="0"/>
          <w:szCs w:val="21"/>
        </w:rPr>
      </w:pPr>
      <w:r w:rsidRPr="002979E8">
        <w:rPr>
          <w:rFonts w:ascii="微软雅黑" w:eastAsia="微软雅黑" w:hAnsi="微软雅黑" w:cs="宋体" w:hint="eastAsia"/>
          <w:color w:val="222222"/>
          <w:kern w:val="0"/>
          <w:szCs w:val="21"/>
        </w:rPr>
        <w:t> </w:t>
      </w:r>
    </w:p>
    <w:p w:rsidR="002979E8" w:rsidRPr="002979E8" w:rsidRDefault="002979E8" w:rsidP="002979E8">
      <w:pPr>
        <w:widowControl/>
        <w:spacing w:line="450" w:lineRule="atLeast"/>
        <w:jc w:val="righ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中共婺源县委办公室</w:t>
      </w: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婺源县人民政府办公室</w:t>
      </w:r>
    </w:p>
    <w:p w:rsidR="002979E8" w:rsidRPr="002979E8" w:rsidRDefault="002979E8" w:rsidP="002979E8">
      <w:pPr>
        <w:widowControl/>
        <w:spacing w:line="450" w:lineRule="atLeast"/>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                                                         </w:t>
      </w:r>
    </w:p>
    <w:p w:rsidR="002979E8" w:rsidRPr="002979E8" w:rsidRDefault="002979E8" w:rsidP="002979E8">
      <w:pPr>
        <w:widowControl/>
        <w:spacing w:line="450" w:lineRule="atLeast"/>
        <w:jc w:val="left"/>
        <w:rPr>
          <w:rFonts w:ascii="微软雅黑" w:eastAsia="微软雅黑" w:hAnsi="微软雅黑" w:cs="宋体" w:hint="eastAsia"/>
          <w:color w:val="222222"/>
          <w:kern w:val="0"/>
          <w:szCs w:val="21"/>
        </w:rPr>
      </w:pPr>
      <w:r w:rsidRPr="002979E8">
        <w:rPr>
          <w:rFonts w:ascii="仿宋_GB2312" w:eastAsia="仿宋_GB2312" w:hAnsi="微软雅黑" w:cs="宋体" w:hint="eastAsia"/>
          <w:color w:val="000000"/>
          <w:kern w:val="0"/>
          <w:sz w:val="32"/>
          <w:szCs w:val="32"/>
          <w:bdr w:val="none" w:sz="0" w:space="0" w:color="auto" w:frame="1"/>
        </w:rPr>
        <w:t>                                                           </w:t>
      </w:r>
      <w:r w:rsidRPr="002979E8">
        <w:rPr>
          <w:rFonts w:ascii="仿宋_GB2312" w:eastAsia="仿宋_GB2312" w:hAnsi="微软雅黑" w:cs="宋体" w:hint="eastAsia"/>
          <w:color w:val="000000"/>
          <w:kern w:val="0"/>
          <w:sz w:val="32"/>
          <w:szCs w:val="32"/>
          <w:bdr w:val="none" w:sz="0" w:space="0" w:color="auto" w:frame="1"/>
        </w:rPr>
        <w:t>2013年3月6日</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方正小标宋简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E8"/>
    <w:rsid w:val="002979E8"/>
    <w:rsid w:val="00C1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D9A99-619D-4ABB-8FD9-EDF63184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979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79E8"/>
    <w:rPr>
      <w:rFonts w:ascii="宋体" w:eastAsia="宋体" w:hAnsi="宋体" w:cs="宋体"/>
      <w:b/>
      <w:bCs/>
      <w:kern w:val="36"/>
      <w:sz w:val="48"/>
      <w:szCs w:val="48"/>
    </w:rPr>
  </w:style>
  <w:style w:type="character" w:customStyle="1" w:styleId="apple-converted-space">
    <w:name w:val="apple-converted-space"/>
    <w:basedOn w:val="a0"/>
    <w:rsid w:val="002979E8"/>
  </w:style>
  <w:style w:type="character" w:styleId="a3">
    <w:name w:val="Hyperlink"/>
    <w:basedOn w:val="a0"/>
    <w:uiPriority w:val="99"/>
    <w:semiHidden/>
    <w:unhideWhenUsed/>
    <w:rsid w:val="002979E8"/>
    <w:rPr>
      <w:color w:val="0000FF"/>
      <w:u w:val="single"/>
    </w:rPr>
  </w:style>
  <w:style w:type="paragraph" w:styleId="a4">
    <w:name w:val="Normal (Web)"/>
    <w:basedOn w:val="a"/>
    <w:uiPriority w:val="99"/>
    <w:semiHidden/>
    <w:unhideWhenUsed/>
    <w:rsid w:val="002979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4032">
      <w:bodyDiv w:val="1"/>
      <w:marLeft w:val="0"/>
      <w:marRight w:val="0"/>
      <w:marTop w:val="0"/>
      <w:marBottom w:val="0"/>
      <w:divBdr>
        <w:top w:val="none" w:sz="0" w:space="0" w:color="auto"/>
        <w:left w:val="none" w:sz="0" w:space="0" w:color="auto"/>
        <w:bottom w:val="none" w:sz="0" w:space="0" w:color="auto"/>
        <w:right w:val="none" w:sz="0" w:space="0" w:color="auto"/>
      </w:divBdr>
      <w:divsChild>
        <w:div w:id="1250232810">
          <w:marLeft w:val="300"/>
          <w:marRight w:val="300"/>
          <w:marTop w:val="0"/>
          <w:marBottom w:val="0"/>
          <w:divBdr>
            <w:top w:val="single" w:sz="6" w:space="0" w:color="DDDDDD"/>
            <w:left w:val="single" w:sz="6" w:space="0" w:color="DDDDDD"/>
            <w:bottom w:val="single" w:sz="6" w:space="0" w:color="DDDDDD"/>
            <w:right w:val="single" w:sz="6" w:space="0" w:color="DDDDDD"/>
          </w:divBdr>
        </w:div>
        <w:div w:id="1321424115">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8)" TargetMode="External"/><Relationship Id="rId4" Type="http://schemas.openxmlformats.org/officeDocument/2006/relationships/hyperlink" Target="javascript:doZoom(2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2018-05-15T07:56:00Z</dcterms:created>
  <dcterms:modified xsi:type="dcterms:W3CDTF">2018-05-15T07:58:00Z</dcterms:modified>
</cp:coreProperties>
</file>