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6" w:space="0"/>
          <w:right w:val="none" w:color="auto" w:sz="0" w:space="0"/>
        </w:pBdr>
        <w:spacing w:before="600" w:beforeAutospacing="0" w:after="0" w:afterAutospacing="0" w:line="900" w:lineRule="atLeast"/>
        <w:ind w:left="0" w:right="0"/>
        <w:jc w:val="center"/>
        <w:rPr>
          <w:b w:val="0"/>
          <w:color w:val="DB4C0A"/>
          <w:sz w:val="39"/>
          <w:szCs w:val="39"/>
        </w:rPr>
      </w:pPr>
      <w:bookmarkStart w:id="0" w:name="_GoBack"/>
      <w:r>
        <w:rPr>
          <w:b w:val="0"/>
          <w:i w:val="0"/>
          <w:caps w:val="0"/>
          <w:color w:val="DB4C0A"/>
          <w:spacing w:val="0"/>
          <w:sz w:val="39"/>
          <w:szCs w:val="39"/>
          <w:bdr w:val="none" w:color="auto" w:sz="0" w:space="0"/>
          <w:shd w:val="clear" w:fill="FFFFFF"/>
        </w:rPr>
        <w:t>宁德市人民政府关于印发宁德市促进冶金新材料产业发展六条措施的通知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0" w:lineRule="atLeast"/>
        <w:ind w:left="0" w:right="0"/>
        <w:jc w:val="center"/>
        <w:rPr>
          <w:b w:val="0"/>
          <w:sz w:val="21"/>
          <w:szCs w:val="21"/>
        </w:rPr>
      </w:pPr>
      <w:r>
        <w:rPr>
          <w:b w:val="0"/>
          <w:i w:val="0"/>
          <w:caps w:val="0"/>
          <w:color w:val="333333"/>
          <w:spacing w:val="0"/>
          <w:sz w:val="21"/>
          <w:szCs w:val="21"/>
          <w:bdr w:val="none" w:color="auto" w:sz="0" w:space="0"/>
          <w:shd w:val="clear" w:fill="FFFFFF"/>
        </w:rPr>
        <w:t>宁政〔2017〕16号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0" w:afterAutospacing="0" w:line="600" w:lineRule="atLeast"/>
        <w:ind w:left="0" w:right="0"/>
        <w:jc w:val="center"/>
        <w:rPr>
          <w:color w:val="999999"/>
        </w:rPr>
      </w:pPr>
      <w:r>
        <w:rPr>
          <w:rFonts w:ascii="微软雅黑" w:hAnsi="微软雅黑" w:eastAsia="微软雅黑" w:cs="微软雅黑"/>
          <w:b w:val="0"/>
          <w:i w:val="0"/>
          <w:caps w:val="0"/>
          <w:color w:val="999999"/>
          <w:spacing w:val="0"/>
          <w:sz w:val="21"/>
          <w:szCs w:val="21"/>
          <w:bdr w:val="none" w:color="auto" w:sz="0" w:space="0"/>
          <w:shd w:val="clear" w:fill="FFFFFF"/>
        </w:rPr>
        <w:t>发布时间：2017-07-31</w:t>
      </w:r>
      <w:r>
        <w:rPr>
          <w:rFonts w:hint="eastAsia" w:ascii="微软雅黑" w:hAnsi="微软雅黑" w:eastAsia="微软雅黑" w:cs="微软雅黑"/>
          <w:b w:val="0"/>
          <w:i w:val="0"/>
          <w:caps w:val="0"/>
          <w:color w:val="999999"/>
          <w:spacing w:val="0"/>
          <w:sz w:val="21"/>
          <w:szCs w:val="21"/>
          <w:bdr w:val="none" w:color="auto" w:sz="0" w:space="0"/>
          <w:shd w:val="clear" w:fill="FFFFFF"/>
        </w:rPr>
        <w:t>来源：市政府办公开科 字体显示：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"http://www.ningde.gov.cn/zfxxgkzl/zfxxgkml/fggzhgf/jmgjgzgl/201707/t20170731_128514.htm"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7"/>
          <w:rFonts w:hint="eastAsia" w:ascii="微软雅黑" w:hAnsi="微软雅黑" w:eastAsia="微软雅黑" w:cs="微软雅黑"/>
          <w:b w:val="0"/>
          <w:i w:val="0"/>
          <w:caps w:val="0"/>
          <w:color w:val="999999"/>
          <w:spacing w:val="0"/>
          <w:sz w:val="21"/>
          <w:szCs w:val="21"/>
          <w:u w:val="none"/>
          <w:bdr w:val="none" w:color="auto" w:sz="0" w:space="0"/>
          <w:shd w:val="clear" w:fill="FFFFFF"/>
        </w:rPr>
        <w:t>大</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"http://www.ningde.gov.cn/zfxxgkzl/zfxxgkml/fggzhgf/jmgjgzgl/201707/t20170731_128514.htm"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7"/>
          <w:rFonts w:hint="eastAsia" w:ascii="微软雅黑" w:hAnsi="微软雅黑" w:eastAsia="微软雅黑" w:cs="微软雅黑"/>
          <w:b w:val="0"/>
          <w:i w:val="0"/>
          <w:caps w:val="0"/>
          <w:color w:val="999999"/>
          <w:spacing w:val="0"/>
          <w:sz w:val="21"/>
          <w:szCs w:val="21"/>
          <w:u w:val="none"/>
          <w:bdr w:val="none" w:color="auto" w:sz="0" w:space="0"/>
          <w:shd w:val="clear" w:fill="FFFFFF"/>
        </w:rPr>
        <w:t>中</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"http://www.ningde.gov.cn/zfxxgkzl/zfxxgkml/fggzhgf/jmgjgzgl/201707/t20170731_128514.htm"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7"/>
          <w:rFonts w:hint="eastAsia" w:ascii="微软雅黑" w:hAnsi="微软雅黑" w:eastAsia="微软雅黑" w:cs="微软雅黑"/>
          <w:b w:val="0"/>
          <w:i w:val="0"/>
          <w:caps w:val="0"/>
          <w:color w:val="999999"/>
          <w:spacing w:val="0"/>
          <w:sz w:val="21"/>
          <w:szCs w:val="21"/>
          <w:u w:val="none"/>
          <w:bdr w:val="none" w:color="auto" w:sz="0" w:space="0"/>
          <w:shd w:val="clear" w:fill="FFFFFF"/>
        </w:rPr>
        <w:t>小</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各县（市、区）人民政府，东侨经济技术开发区管委会，市政府各部门、各直属机构，各大企业，各大中专院校：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经市政府研究，现将《宁德市促进冶金新材料产业发展的六条措施》印发你们，请认真抓好贯彻落实。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宁德市人民政府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2017年7月17日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center"/>
        <w:rPr>
          <w:rFonts w:hint="eastAsia" w:ascii="宋体" w:hAnsi="宋体" w:eastAsia="宋体" w:cs="宋体"/>
          <w:sz w:val="24"/>
          <w:szCs w:val="24"/>
        </w:rPr>
      </w:pPr>
      <w:r>
        <w:rPr>
          <w:rStyle w:val="6"/>
          <w:rFonts w:hint="eastAsia" w:ascii="宋体" w:hAnsi="宋体" w:eastAsia="宋体" w:cs="宋体"/>
          <w:i w:val="0"/>
          <w:caps w:val="0"/>
          <w:color w:val="333333"/>
          <w:spacing w:val="0"/>
          <w:sz w:val="24"/>
          <w:szCs w:val="24"/>
          <w:bdr w:val="none" w:color="auto" w:sz="0" w:space="0"/>
          <w:shd w:val="clear" w:fill="FFFFFF"/>
        </w:rPr>
        <w:t>　　宁德市促进冶金新材料产业发展的六条措施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为进一步扶持冶金新材料产业龙头做大做强，吸引上下游配套企业集聚发展，特制定以下措施。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一、实行工业用地优惠。</w:t>
      </w:r>
      <w:r>
        <w:rPr>
          <w:rFonts w:hint="eastAsia" w:ascii="宋体" w:hAnsi="宋体" w:eastAsia="宋体" w:cs="宋体"/>
          <w:b w:val="0"/>
          <w:i w:val="0"/>
          <w:caps w:val="0"/>
          <w:color w:val="333333"/>
          <w:spacing w:val="0"/>
          <w:sz w:val="24"/>
          <w:szCs w:val="24"/>
          <w:bdr w:val="none" w:color="auto" w:sz="0" w:space="0"/>
          <w:shd w:val="clear" w:fill="FFFFFF"/>
        </w:rPr>
        <w:t>对符合国家产业政策的入驻项目优先供地，其土地出让底价按不低于所在级别基准地价的70%执行。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二、鼓励企业投产扩能。</w:t>
      </w:r>
      <w:r>
        <w:rPr>
          <w:rFonts w:hint="eastAsia" w:ascii="宋体" w:hAnsi="宋体" w:eastAsia="宋体" w:cs="宋体"/>
          <w:b w:val="0"/>
          <w:i w:val="0"/>
          <w:caps w:val="0"/>
          <w:color w:val="333333"/>
          <w:spacing w:val="0"/>
          <w:sz w:val="24"/>
          <w:szCs w:val="24"/>
          <w:bdr w:val="none" w:color="auto" w:sz="0" w:space="0"/>
          <w:shd w:val="clear" w:fill="FFFFFF"/>
        </w:rPr>
        <w:t>新设企业在本措施有效期内，累计固定资产投资达到20亿元（含20亿元）以上、年纳税在1亿元（1亿元）以上的，自投产年度起，由受益财政连续4年对企业每年缴纳增值税与企业所得税1亿元和超出1亿元部分，分别按构成地方留成部分的40%和60%给予奖励，以上奖励累计资金最高不超过2亿元。存续企业年总产值达100亿元以上、年纳税达2亿元以上的，以上一年度纳税额为基数，由受益财政按其当年缴纳税构成地方留成增量部分的60%给予奖励。享受新设企业奖励的，不再享受存续企业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三、加快产业链条延伸。</w:t>
      </w:r>
      <w:r>
        <w:rPr>
          <w:rFonts w:hint="eastAsia" w:ascii="宋体" w:hAnsi="宋体" w:eastAsia="宋体" w:cs="宋体"/>
          <w:b w:val="0"/>
          <w:i w:val="0"/>
          <w:caps w:val="0"/>
          <w:color w:val="333333"/>
          <w:spacing w:val="0"/>
          <w:sz w:val="24"/>
          <w:szCs w:val="24"/>
          <w:bdr w:val="none" w:color="auto" w:sz="0" w:space="0"/>
          <w:shd w:val="clear" w:fill="FFFFFF"/>
        </w:rPr>
        <w:t>对符合国家产业政策、总投资达5000万元以上的产业链下游新建配套项目，在项目建设有效期内，投产当年由受益财政按其生产设备购置金额（以完税发票为依据，不含税）的5%给予补助，单一企业最高限额500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四、争取奖补政策扶持。</w:t>
      </w:r>
      <w:r>
        <w:rPr>
          <w:rFonts w:hint="eastAsia" w:ascii="宋体" w:hAnsi="宋体" w:eastAsia="宋体" w:cs="宋体"/>
          <w:b w:val="0"/>
          <w:i w:val="0"/>
          <w:caps w:val="0"/>
          <w:color w:val="333333"/>
          <w:spacing w:val="0"/>
          <w:sz w:val="24"/>
          <w:szCs w:val="24"/>
          <w:bdr w:val="none" w:color="auto" w:sz="0" w:space="0"/>
          <w:shd w:val="clear" w:fill="FFFFFF"/>
        </w:rPr>
        <w:t>优先申报调峰生产、直供电、用电奖励、技术改造、技术创新、绿色发展等奖补项目，支持企业参与售电侧改革试点，争取开展电力直接交易。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五、推进技术品牌建设。</w:t>
      </w:r>
      <w:r>
        <w:rPr>
          <w:rFonts w:hint="eastAsia" w:ascii="宋体" w:hAnsi="宋体" w:eastAsia="宋体" w:cs="宋体"/>
          <w:b w:val="0"/>
          <w:i w:val="0"/>
          <w:caps w:val="0"/>
          <w:color w:val="333333"/>
          <w:spacing w:val="0"/>
          <w:sz w:val="24"/>
          <w:szCs w:val="24"/>
          <w:bdr w:val="none" w:color="auto" w:sz="0" w:space="0"/>
          <w:shd w:val="clear" w:fill="FFFFFF"/>
        </w:rPr>
        <w:t>对新获评“国家级企业技术中心”“国家级重点实验室”“国家工程（技术）研究中心”“国家质量奖”的企业，由受益财政分别给予200万元的一次性奖励；对新获得“中国驰名商标”“省政府质量奖”的企业，由受益财政分别给予100万元的一次性奖励；对新获评“省级企业技术中心”“省（部）级重点实验室”“省级（企业）工程（技术）研究中心”的企业，由受益财政分别给予50万元的一次性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　六、支持企业招才引智。</w:t>
      </w:r>
      <w:r>
        <w:rPr>
          <w:rFonts w:hint="eastAsia" w:ascii="宋体" w:hAnsi="宋体" w:eastAsia="宋体" w:cs="宋体"/>
          <w:b w:val="0"/>
          <w:i w:val="0"/>
          <w:caps w:val="0"/>
          <w:color w:val="333333"/>
          <w:spacing w:val="0"/>
          <w:sz w:val="24"/>
          <w:szCs w:val="24"/>
          <w:bdr w:val="none" w:color="auto" w:sz="0" w:space="0"/>
          <w:shd w:val="clear" w:fill="FFFFFF"/>
        </w:rPr>
        <w:t>优先适用《关于实施“三都澳人才计划”的意见》（宁委发〔2017〕8号）、《宁德市“天湖人才”评价认定办法》（宁委人才〔2017〕3号）、《宁德市加快重点产业人才引进培养的八条措施》（宁委办发〔2017〕22号）等三份政策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各县（市、区）政府、东侨经济技术开发区管委会可在本措施基础上，结合当地实际，制定相应的推动冶金新材料产业加快发展的配套措施。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本措施适用于符合国家产业政策的冶金新材料产业项目，所述优惠政策遵循从优且不重复享受原则，自发布之日起施行，有效期至2020年12月31日，由市经济和信息化委员会负责解释。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12465"/>
    <w:rsid w:val="1C81246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2018-06-06T05:59:00Z</dcterms:created>
  <dc:creator>lenovo</dc:creator>
  <cp:lastModifiedBy>lenovo</cp:lastModifiedBy>
  <dcterms:modified xsi:type="dcterms:W3CDTF">2018-06-06T05:59:56Z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