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40" w:lineRule="atLeast"/>
        <w:ind w:left="0" w:right="0"/>
        <w:jc w:val="center"/>
        <w:rPr>
          <w:rFonts w:ascii="微软雅黑" w:hAnsi="微软雅黑" w:eastAsia="微软雅黑" w:cs="微软雅黑"/>
          <w:color w:val="E43333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E43333"/>
          <w:spacing w:val="0"/>
          <w:sz w:val="36"/>
          <w:szCs w:val="36"/>
          <w:bdr w:val="none" w:color="auto" w:sz="0" w:space="0"/>
        </w:rPr>
        <w:t>贵州省人民政府关于推进“互联网+”行动的政策措施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来源：红花岗政府办   发布日期：2018-04-28 09:30:44  浏览次数：2   文章字号: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中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小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"http://www.zyhhg.gov.cn/doc/2018/04/28/108622.shtml" \o "分享到QQ空间"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"http://www.zyhhg.gov.cn/doc/2018/04/28/108622.shtml" \o "分享到新浪微博"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"http://www.zyhhg.gov.cn/doc/2018/04/28/108622.shtml" \o "分享到微信"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"http://www.zyhhg.gov.cn/doc/2018/04/28/108622.shtml" \o "分享到QQ好友"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"http://www.zyhhg.gov.cn/doc/2018/04/28/108622.shtml"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摘自黔府发〔2015〕34号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一、对入驻政府投资建设的产业园区、产业孵化器、产业集聚区的重点互联网企业用房，由所在地政府给予3年的房租减免。积极落实用电优惠政策，采用发电企业与大用户直接交易、工商同价等方式降低用电成本。鼓励重点扶持的互联网企业购买基础运营商数据中心服务，由所在地政府按企业年租赁费用的30%予以一次性补助，最高不超过30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二、鼓励在黔金融机构进一步加大对互联网经济发展的金融支持。对新引进实际到位资本金达到3000万元以上、具有核心技术或创新模式的龙头企业，依据产业水平和贡献程度等情况，由所在地政府给予一次性不超过200万元的落户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三、落实税收优惠政策。对符合条件的互联网企业可优先申请高新技术企业，经认定的企业符合税法规定的享受相关税收优惠政策。对互联网企业开发新技术、新产品、新工艺发生的符合税法规定的研究开发费用，未形成无形资产计入当期损益的，在按规定据实扣除的基础上，再按研究开发费用的50%加计扣除;形成无形资产的，按无形资产成本的150%摊销。研发投入占销售收入比重超过10%且年研发投入超过1000万元的企业，省科技厅按研发投入超过10%以上的部分予以50%后补助，年补助最高不超过200万元，每个企业累计补助最高300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四、集聚互联网跨界创新人才。引进人才纳入贵州省“百千万人才引进计划”评审认定范围，经评审认定的“百人领军人才”“千人创新创业人才”，享受《贵州省“百千万人才引进计划”实施办法》规定的各项优惠待遇。对符合高校毕业生创业优惠政策支持范围的“互联网+”融合创业，按规定给予政策优惠。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五、打造互联网融合创新平台。借鉴创客空间、创新工场等新型孵化模式，整合大学科技园、科技企业孵化器、高校、创业投资机构等现有资源，发挥行业领军企业、社会组织等社会力量的作用，构建一批开放式的互联网孵化器。认定为省级创业孵化示范基地、民营互联网创业孵化基地、高校毕业生创业孵化基地的，由省人力资源保障厅给予一次性补助50万元。积极组建贵州省互联网产业技术创新战略联盟，形成对优势潜力项目和优秀创业团队的发现和扶持机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2018-05-22T13:42:07Z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