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272" w:rsidRPr="001A1272" w:rsidRDefault="001A1272" w:rsidP="001A1272">
      <w:pPr>
        <w:widowControl/>
        <w:shd w:val="clear" w:color="auto" w:fill="FFFFFF"/>
        <w:jc w:val="left"/>
        <w:rPr>
          <w:rFonts w:ascii="微软雅黑" w:eastAsia="微软雅黑" w:hAnsi="微软雅黑" w:cs="宋体"/>
          <w:color w:val="000000"/>
          <w:kern w:val="0"/>
          <w:sz w:val="24"/>
          <w:szCs w:val="24"/>
        </w:rPr>
      </w:pPr>
      <w:r w:rsidRPr="001A1272">
        <w:rPr>
          <w:rFonts w:ascii="微软雅黑" w:eastAsia="微软雅黑" w:hAnsi="微软雅黑" w:cs="宋体" w:hint="eastAsia"/>
          <w:color w:val="000000"/>
          <w:kern w:val="0"/>
          <w:sz w:val="24"/>
          <w:szCs w:val="24"/>
        </w:rPr>
        <w:t>各县、区人民政府，市政府各部门、各直属机构：</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《支持新能源汽车产业创新发展和推广应用若干政策》已经市政府第2次常务会议研究通过，现印发给你们，请认真贯彻执行。</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p>
    <w:p w:rsidR="001A1272" w:rsidRPr="001A1272" w:rsidRDefault="001A1272" w:rsidP="001A1272">
      <w:pPr>
        <w:widowControl/>
        <w:shd w:val="clear" w:color="auto" w:fill="FFFFFF"/>
        <w:ind w:firstLine="640"/>
        <w:jc w:val="righ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2018年2月25日</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（此件公开发布）</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p>
    <w:p w:rsidR="001A1272" w:rsidRPr="001A1272" w:rsidRDefault="001A1272" w:rsidP="001A1272">
      <w:pPr>
        <w:widowControl/>
        <w:shd w:val="clear" w:color="auto" w:fill="FFFFFF"/>
        <w:ind w:firstLine="640"/>
        <w:jc w:val="center"/>
        <w:rPr>
          <w:rFonts w:ascii="微软雅黑" w:eastAsia="微软雅黑" w:hAnsi="微软雅黑" w:cs="宋体" w:hint="eastAsia"/>
          <w:color w:val="000000"/>
          <w:kern w:val="0"/>
          <w:sz w:val="24"/>
          <w:szCs w:val="24"/>
        </w:rPr>
      </w:pPr>
    </w:p>
    <w:p w:rsidR="001A1272" w:rsidRPr="001A1272" w:rsidRDefault="001A1272" w:rsidP="001A1272">
      <w:pPr>
        <w:widowControl/>
        <w:shd w:val="clear" w:color="auto" w:fill="FFFFFF"/>
        <w:jc w:val="center"/>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支持新能源汽车产业创新发展</w:t>
      </w:r>
    </w:p>
    <w:p w:rsidR="001A1272" w:rsidRPr="001A1272" w:rsidRDefault="001A1272" w:rsidP="001A1272">
      <w:pPr>
        <w:widowControl/>
        <w:shd w:val="clear" w:color="auto" w:fill="FFFFFF"/>
        <w:jc w:val="center"/>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和推广应用若干政策</w:t>
      </w:r>
    </w:p>
    <w:p w:rsidR="001A1272" w:rsidRPr="001A1272" w:rsidRDefault="001A1272" w:rsidP="001A1272">
      <w:pPr>
        <w:widowControl/>
        <w:shd w:val="clear" w:color="auto" w:fill="FFFFFF"/>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 </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为贯彻落实国家关于发展新能源汽车产业的战略部署，培育和发展新能源汽车产业，有效促进节能减排，带动产业转型升级，根据《安徽省人民政府关于印发支持新能源汽车产业创新发展和推广应用若干政策的通知》（皖政〔2017〕110号）文件精神，结合我市实际，实施以下政策。</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一、支持招大引强</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对在我市新设立独立法人的生产企业，其总投资1亿元（不含土地价款）以上的新能源汽车产业关键零配件等单个项目，按照固定资产投资额（不含土地价款）的8%给予奖励，最高不超过3000万元。奖励资金用于企业在淮投资的新能源汽车领域的项目建设、设备购置、研发投入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lastRenderedPageBreak/>
        <w:t>对在我市新设立独立法人的生产企业，其投资建设的新能源整车项目按市招商引资重大项目政策执行。（牵头单位：市发改委；配合单位：市经信委、市财政局、市商务局等）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二、支持企业成长</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每新主导制定新能源汽车领域国际标准、国家标准、行业标准，在省奖励资金的基础上，分别给予一次性奖励50万元、30万元、10万元。</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市内新能源汽车生产企业每新上1个新能源汽车产品公告的新能源商用车销售达到100辆，或者新能源乘用车销售达到2000辆，在省奖励资金的基础上，分别给予一次性奖励50万元。</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对列入《汽车动力（蓄）电池行业规范条件》企业目录的市内企业，在省奖励资金的基础上，给予一次性奖励100万元（牵头责任单位：市经信委、市质监局；配合单位：市发改委、市财政局等）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三、支持研发创新</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鼓励实施新能源汽车暨智能网联汽车产业技术创新工程。对经审核认定的共性关键技术研发及产业化项目，按照省补助金额20%予以补助。（牵头责任单位：市发改委；配合单位：市科技局、市经信委、市财政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四、支持市场开拓</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对新能源汽车（分乘用车、商用车两类）销量占全省新能源汽车销量比重比上一年度增长10%及以上的市内新能源汽车生产企业，给予一次性奖励200万元，连续3年销量环比增长10%及以上的，再奖励500万元。</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对年销售新能源商用车分别达到500辆及以上，或者新能源乘用车达到5000辆及以上的市内新能源汽车生产企业，分别再给予一次性奖励100万</w:t>
      </w:r>
      <w:r w:rsidRPr="001A1272">
        <w:rPr>
          <w:rFonts w:ascii="微软雅黑" w:eastAsia="微软雅黑" w:hAnsi="微软雅黑" w:cs="宋体" w:hint="eastAsia"/>
          <w:color w:val="000000"/>
          <w:kern w:val="0"/>
          <w:sz w:val="24"/>
          <w:szCs w:val="24"/>
        </w:rPr>
        <w:lastRenderedPageBreak/>
        <w:t>元，200万元。（牵头责任单位：市经信委；配合单位：市发改委、市财政局等）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五、建设公共服务平台</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支持新能源汽车生产企业建立完善新能源汽车的维修服务网络，履行新能源汽车废旧动力蓄电池回收的主体责任，增强与销售的新能源汽车总量规模相匹配的电池回收、利用和处置能力，实现对新能源汽车全产业链、全生命周期的安全管理。新能源汽车生产厂商对在本省销售的新能源汽车的远程实时动态监控数据，按照要求接入省新能源汽车公共数据采集与监管中心。（牵头责任单位：市经信委、市质监局；配合单位：市发改委、市财政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六、加大公共领域的推广应用</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将新能源汽车纳入市级政府集中采购目录。市内新增和更换的公务用车严格按照规定逐年提高新能源汽车比例，机要通信用车全部配备新能源汽车。</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2018年，新增及更换的公交车中，新能源公交车比例不低于60%。到2020年前，每年按照10个百分点的增加比例逐年扩大应用规模。</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2018年，新增及更换的环卫、消防、机场通勤等车辆中新能源汽车比例不低于25%，到2020年前，每年按照5个百分点的增加比例逐年扩大应用规模。（牵头责任单位：市公管局、市建发集团；配合单位：市财政局、市城乡建设委、市城管局、市消防支队、各县区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七、实施出租车“油改电”换购计划</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从2018年起，新增的巡游出租车使用新能源汽车比例不低于30%。</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在享受现行新能源汽车推广应用补贴政策的基础上，对2018—2020年进行“油改电”换购的巡游出租车和网约出租车企业、经营者，对出租车承包</w:t>
      </w:r>
      <w:r w:rsidRPr="001A1272">
        <w:rPr>
          <w:rFonts w:ascii="微软雅黑" w:eastAsia="微软雅黑" w:hAnsi="微软雅黑" w:cs="宋体" w:hint="eastAsia"/>
          <w:color w:val="000000"/>
          <w:kern w:val="0"/>
          <w:sz w:val="24"/>
          <w:szCs w:val="24"/>
        </w:rPr>
        <w:lastRenderedPageBreak/>
        <w:t>费标准或定额任务不得高于2017年承包标准或定额任务。（牵头责任单位：市交通运输局；配合单位：市物价局等）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八、加快充电设施建设</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制定淮南市电动汽车充电基础设施建设方案和管理细则，鼓励社会资本进入充电设施建设领域。到2020年，建成完善的公共停车场、公交、出租及环卫、物流等公共服务领域充电基础设施。推进居民区与单位停车位充电桩配建工作。基本建成适度超前、车桩相宜、智能高效的充电基础设施体系，形成统一开放、竞争有序的充电服务市场。</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新建公共建筑物停车场和社会公共停车场，按不少于规划停车位20％的比例配建充电桩；新建住宅小区停车位应全部预留充电桩建设安装条件，配建的充电桩原则上不少于规划停车位的10%。</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对充电基础设施建设项目，相关部门要减少审批环节，依法从快从简办理。商业运营的充电基础设施项目由属地发展改革部门备案，自用充电基础设施项目不需要备案。</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个人在自用停车库、停车位，各居住小区、单位在既有停车位安装充电设施的，在安全专业施工的前提下，不需要办理建设规划许可证、建设工程规划许可证和施工许可证。在建设社会公共停车场（楼）时，不需要为同步建设的充电桩群等充电设施单独办理建设工程规划许可证和施工许可证。（牵头责任单位：市城乡规划局；配合单位：市发改委、市城乡建设委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九、营造低成本便利化的消费环境</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完善充电基础设施用电价格及充换电服务收费政策。对向电网经营企业直接报装接电的经营性集中式充换电设施用电，执行大工业用电价格，2020年</w:t>
      </w:r>
      <w:r w:rsidRPr="001A1272">
        <w:rPr>
          <w:rFonts w:ascii="微软雅黑" w:eastAsia="微软雅黑" w:hAnsi="微软雅黑" w:cs="宋体" w:hint="eastAsia"/>
          <w:color w:val="000000"/>
          <w:kern w:val="0"/>
          <w:sz w:val="24"/>
          <w:szCs w:val="24"/>
        </w:rPr>
        <w:lastRenderedPageBreak/>
        <w:t>前免收基本电费；居住家庭住宅、居民住宅小区、执行居民电价的非居民用户充电设施用电，执行居民合表用户电价；其他充电设施按其所在场所执行分类目录电价。电动汽车充换电设施用电执行峰谷分时电价政策。</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2018年6月30日前启动新能源汽车专用号牌核发工作。研究落实鼓励新能源汽车推广应用的充换电收费、停车位投放及停车费用等政策，建立充电基础设施的道路交通标识体系和规范，方便新能源汽车的通行和使用。（牵头责任单位：市物价局、市公安局；配合单位：市交通运输局、市供电公司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十、加强推广应用的考核评估</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构建科学的新能源汽车推广应用指标体系。每年委托第三方机构对各单位新能源汽车推广应用目标完成情况进行综合评估，对评估合格且任务完成好的单位予以适当奖励。（牵头责任单位：市经信委、市目标办；配合单位：市发改委、市财政局、市交通运输局等）</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本政策奖补资金按现行财政体制由受益财政承担，与本市出台的其他奖补资金不得重复享受。</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 </w:t>
      </w:r>
    </w:p>
    <w:p w:rsidR="001A1272" w:rsidRPr="001A1272" w:rsidRDefault="001A1272" w:rsidP="001A1272">
      <w:pPr>
        <w:widowControl/>
        <w:shd w:val="clear" w:color="auto" w:fill="FFFFFF"/>
        <w:ind w:firstLine="640"/>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附件：重点任务分工</w:t>
      </w:r>
    </w:p>
    <w:p w:rsidR="001A1272" w:rsidRPr="001A1272" w:rsidRDefault="001A1272" w:rsidP="001A1272">
      <w:pPr>
        <w:widowControl/>
        <w:shd w:val="clear" w:color="auto" w:fill="FFFFFF"/>
        <w:jc w:val="center"/>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 </w:t>
      </w:r>
    </w:p>
    <w:p w:rsidR="001A1272" w:rsidRPr="001A1272" w:rsidRDefault="001A1272" w:rsidP="001A1272">
      <w:pPr>
        <w:widowControl/>
        <w:shd w:val="clear" w:color="auto" w:fill="FFFFFF"/>
        <w:jc w:val="center"/>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 </w:t>
      </w:r>
    </w:p>
    <w:p w:rsidR="001A1272" w:rsidRPr="001A1272" w:rsidRDefault="001A1272" w:rsidP="001A1272">
      <w:pPr>
        <w:widowControl/>
        <w:shd w:val="clear" w:color="auto" w:fill="FFFFFF"/>
        <w:jc w:val="left"/>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附件</w:t>
      </w:r>
    </w:p>
    <w:p w:rsidR="001A1272" w:rsidRPr="001A1272" w:rsidRDefault="001A1272" w:rsidP="001A1272">
      <w:pPr>
        <w:widowControl/>
        <w:shd w:val="clear" w:color="auto" w:fill="FFFFFF"/>
        <w:jc w:val="center"/>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重点任务分工</w:t>
      </w:r>
    </w:p>
    <w:p w:rsidR="001A1272" w:rsidRPr="001A1272" w:rsidRDefault="001A1272" w:rsidP="001A1272">
      <w:pPr>
        <w:widowControl/>
        <w:shd w:val="clear" w:color="auto" w:fill="FFFFFF"/>
        <w:jc w:val="center"/>
        <w:rPr>
          <w:rFonts w:ascii="微软雅黑" w:eastAsia="微软雅黑" w:hAnsi="微软雅黑" w:cs="宋体" w:hint="eastAsia"/>
          <w:color w:val="000000"/>
          <w:kern w:val="0"/>
          <w:sz w:val="24"/>
          <w:szCs w:val="24"/>
        </w:rPr>
      </w:pPr>
      <w:r w:rsidRPr="001A1272">
        <w:rPr>
          <w:rFonts w:ascii="微软雅黑" w:eastAsia="微软雅黑" w:hAnsi="微软雅黑" w:cs="宋体" w:hint="eastAsia"/>
          <w:color w:val="000000"/>
          <w:kern w:val="0"/>
          <w:sz w:val="24"/>
          <w:szCs w:val="24"/>
        </w:rPr>
        <w:t> </w:t>
      </w:r>
    </w:p>
    <w:tbl>
      <w:tblPr>
        <w:tblW w:w="0" w:type="auto"/>
        <w:jc w:val="center"/>
        <w:tblCellMar>
          <w:left w:w="0" w:type="dxa"/>
          <w:right w:w="0" w:type="dxa"/>
        </w:tblCellMar>
        <w:tblLook w:val="04A0" w:firstRow="1" w:lastRow="0" w:firstColumn="1" w:lastColumn="0" w:noHBand="0" w:noVBand="1"/>
      </w:tblPr>
      <w:tblGrid>
        <w:gridCol w:w="520"/>
        <w:gridCol w:w="1940"/>
        <w:gridCol w:w="1310"/>
        <w:gridCol w:w="1040"/>
        <w:gridCol w:w="1270"/>
      </w:tblGrid>
      <w:tr w:rsidR="001A1272" w:rsidRPr="001A1272" w:rsidTr="001A1272">
        <w:trPr>
          <w:jc w:val="center"/>
        </w:trPr>
        <w:tc>
          <w:tcPr>
            <w:tcW w:w="5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hint="eastAsia"/>
                <w:kern w:val="0"/>
                <w:sz w:val="24"/>
                <w:szCs w:val="24"/>
              </w:rPr>
            </w:pPr>
            <w:r w:rsidRPr="001A1272">
              <w:rPr>
                <w:rFonts w:ascii="黑体" w:eastAsia="黑体" w:hAnsi="黑体" w:cs="宋体" w:hint="eastAsia"/>
                <w:kern w:val="0"/>
                <w:sz w:val="28"/>
                <w:szCs w:val="28"/>
              </w:rPr>
              <w:lastRenderedPageBreak/>
              <w:t>序号</w:t>
            </w:r>
          </w:p>
        </w:tc>
        <w:tc>
          <w:tcPr>
            <w:tcW w:w="19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黑体" w:eastAsia="黑体" w:hAnsi="黑体" w:cs="宋体" w:hint="eastAsia"/>
                <w:kern w:val="0"/>
                <w:sz w:val="28"/>
                <w:szCs w:val="28"/>
              </w:rPr>
              <w:t>工作任务</w:t>
            </w:r>
          </w:p>
        </w:tc>
        <w:tc>
          <w:tcPr>
            <w:tcW w:w="13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黑体" w:eastAsia="黑体" w:hAnsi="黑体" w:cs="宋体" w:hint="eastAsia"/>
                <w:kern w:val="0"/>
                <w:sz w:val="28"/>
                <w:szCs w:val="28"/>
              </w:rPr>
              <w:t>牵头责任</w:t>
            </w:r>
          </w:p>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黑体" w:eastAsia="黑体" w:hAnsi="黑体" w:cs="宋体" w:hint="eastAsia"/>
                <w:kern w:val="0"/>
                <w:sz w:val="28"/>
                <w:szCs w:val="28"/>
              </w:rPr>
              <w:t>单位</w:t>
            </w:r>
          </w:p>
        </w:tc>
        <w:tc>
          <w:tcPr>
            <w:tcW w:w="10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黑体" w:eastAsia="黑体" w:hAnsi="黑体" w:cs="宋体" w:hint="eastAsia"/>
                <w:kern w:val="0"/>
                <w:sz w:val="28"/>
                <w:szCs w:val="28"/>
              </w:rPr>
              <w:t>配合责任</w:t>
            </w:r>
          </w:p>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黑体" w:eastAsia="黑体" w:hAnsi="黑体" w:cs="宋体" w:hint="eastAsia"/>
                <w:kern w:val="0"/>
                <w:sz w:val="28"/>
                <w:szCs w:val="28"/>
              </w:rPr>
              <w:t>单位</w:t>
            </w:r>
          </w:p>
        </w:tc>
        <w:tc>
          <w:tcPr>
            <w:tcW w:w="12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黑体" w:eastAsia="黑体" w:hAnsi="黑体" w:cs="宋体" w:hint="eastAsia"/>
                <w:kern w:val="0"/>
                <w:sz w:val="28"/>
                <w:szCs w:val="28"/>
              </w:rPr>
              <w:t>时限要求</w:t>
            </w:r>
          </w:p>
        </w:tc>
      </w:tr>
      <w:tr w:rsidR="001A1272" w:rsidRPr="001A1272" w:rsidTr="001A1272">
        <w:trPr>
          <w:jc w:val="center"/>
        </w:trPr>
        <w:tc>
          <w:tcPr>
            <w:tcW w:w="5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1</w:t>
            </w:r>
          </w:p>
        </w:tc>
        <w:tc>
          <w:tcPr>
            <w:tcW w:w="19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新增及更换的公交车中，新能源公交车比例不低于</w:t>
            </w:r>
            <w:r w:rsidRPr="001A1272">
              <w:rPr>
                <w:rFonts w:ascii="宋体" w:eastAsia="宋体" w:hAnsi="宋体" w:cs="宋体"/>
                <w:kern w:val="0"/>
                <w:sz w:val="28"/>
                <w:szCs w:val="28"/>
              </w:rPr>
              <w:t>60%</w:t>
            </w:r>
            <w:r w:rsidRPr="001A1272">
              <w:rPr>
                <w:rFonts w:ascii="仿宋_GB2312" w:eastAsia="仿宋_GB2312" w:hAnsi="宋体" w:cs="宋体" w:hint="eastAsia"/>
                <w:kern w:val="0"/>
                <w:sz w:val="28"/>
                <w:szCs w:val="28"/>
              </w:rPr>
              <w:t>，到</w:t>
            </w:r>
            <w:r w:rsidRPr="001A1272">
              <w:rPr>
                <w:rFonts w:ascii="宋体" w:eastAsia="宋体" w:hAnsi="宋体" w:cs="宋体"/>
                <w:kern w:val="0"/>
                <w:sz w:val="28"/>
                <w:szCs w:val="28"/>
              </w:rPr>
              <w:t>2020</w:t>
            </w:r>
            <w:r w:rsidRPr="001A1272">
              <w:rPr>
                <w:rFonts w:ascii="仿宋_GB2312" w:eastAsia="仿宋_GB2312" w:hAnsi="宋体" w:cs="宋体" w:hint="eastAsia"/>
                <w:kern w:val="0"/>
                <w:sz w:val="28"/>
                <w:szCs w:val="28"/>
              </w:rPr>
              <w:t>年前，每年按照</w:t>
            </w:r>
            <w:r w:rsidRPr="001A1272">
              <w:rPr>
                <w:rFonts w:ascii="宋体" w:eastAsia="宋体" w:hAnsi="宋体" w:cs="宋体"/>
                <w:kern w:val="0"/>
                <w:sz w:val="28"/>
                <w:szCs w:val="28"/>
              </w:rPr>
              <w:t>10</w:t>
            </w:r>
            <w:r w:rsidRPr="001A1272">
              <w:rPr>
                <w:rFonts w:ascii="仿宋_GB2312" w:eastAsia="仿宋_GB2312" w:hAnsi="宋体" w:cs="宋体" w:hint="eastAsia"/>
                <w:kern w:val="0"/>
                <w:sz w:val="28"/>
                <w:szCs w:val="28"/>
              </w:rPr>
              <w:t>个百分点的增加比例逐年扩大应用规模</w:t>
            </w:r>
          </w:p>
        </w:tc>
        <w:tc>
          <w:tcPr>
            <w:tcW w:w="13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t>市建发集团</w:t>
            </w:r>
          </w:p>
        </w:tc>
        <w:tc>
          <w:tcPr>
            <w:tcW w:w="10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 </w:t>
            </w:r>
          </w:p>
        </w:tc>
        <w:tc>
          <w:tcPr>
            <w:tcW w:w="12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2018</w:t>
            </w:r>
            <w:r w:rsidRPr="001A1272">
              <w:rPr>
                <w:rFonts w:ascii="仿宋_GB2312" w:eastAsia="仿宋_GB2312" w:hAnsi="宋体" w:cs="宋体" w:hint="eastAsia"/>
                <w:kern w:val="0"/>
                <w:sz w:val="28"/>
                <w:szCs w:val="28"/>
              </w:rPr>
              <w:t>年开始</w:t>
            </w:r>
          </w:p>
        </w:tc>
      </w:tr>
      <w:tr w:rsidR="001A1272" w:rsidRPr="001A1272" w:rsidTr="001A1272">
        <w:trPr>
          <w:jc w:val="center"/>
        </w:trPr>
        <w:tc>
          <w:tcPr>
            <w:tcW w:w="5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2</w:t>
            </w:r>
          </w:p>
        </w:tc>
        <w:tc>
          <w:tcPr>
            <w:tcW w:w="19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新增及更换的环卫、机场通勤、消防等车辆中新能源汽车比例不低于</w:t>
            </w:r>
            <w:r w:rsidRPr="001A1272">
              <w:rPr>
                <w:rFonts w:ascii="宋体" w:eastAsia="宋体" w:hAnsi="宋体" w:cs="宋体"/>
                <w:kern w:val="0"/>
                <w:sz w:val="28"/>
                <w:szCs w:val="28"/>
              </w:rPr>
              <w:t>25%</w:t>
            </w:r>
            <w:r w:rsidRPr="001A1272">
              <w:rPr>
                <w:rFonts w:ascii="仿宋_GB2312" w:eastAsia="仿宋_GB2312" w:hAnsi="宋体" w:cs="宋体" w:hint="eastAsia"/>
                <w:kern w:val="0"/>
                <w:sz w:val="28"/>
                <w:szCs w:val="28"/>
              </w:rPr>
              <w:t>，到</w:t>
            </w:r>
            <w:r w:rsidRPr="001A1272">
              <w:rPr>
                <w:rFonts w:ascii="宋体" w:eastAsia="宋体" w:hAnsi="宋体" w:cs="宋体"/>
                <w:kern w:val="0"/>
                <w:sz w:val="28"/>
                <w:szCs w:val="28"/>
              </w:rPr>
              <w:t>2020</w:t>
            </w:r>
            <w:r w:rsidRPr="001A1272">
              <w:rPr>
                <w:rFonts w:ascii="仿宋_GB2312" w:eastAsia="仿宋_GB2312" w:hAnsi="宋体" w:cs="宋体" w:hint="eastAsia"/>
                <w:kern w:val="0"/>
                <w:sz w:val="28"/>
                <w:szCs w:val="28"/>
              </w:rPr>
              <w:t>年前，每年按照</w:t>
            </w:r>
            <w:r w:rsidRPr="001A1272">
              <w:rPr>
                <w:rFonts w:ascii="宋体" w:eastAsia="宋体" w:hAnsi="宋体" w:cs="宋体"/>
                <w:kern w:val="0"/>
                <w:sz w:val="28"/>
                <w:szCs w:val="28"/>
              </w:rPr>
              <w:t>5</w:t>
            </w:r>
            <w:r w:rsidRPr="001A1272">
              <w:rPr>
                <w:rFonts w:ascii="仿宋_GB2312" w:eastAsia="仿宋_GB2312" w:hAnsi="宋体" w:cs="宋体" w:hint="eastAsia"/>
                <w:kern w:val="0"/>
                <w:sz w:val="28"/>
                <w:szCs w:val="28"/>
              </w:rPr>
              <w:t>个百分点</w:t>
            </w:r>
            <w:r w:rsidRPr="001A1272">
              <w:rPr>
                <w:rFonts w:ascii="仿宋_GB2312" w:eastAsia="仿宋_GB2312" w:hAnsi="宋体" w:cs="宋体" w:hint="eastAsia"/>
                <w:kern w:val="0"/>
                <w:sz w:val="28"/>
                <w:szCs w:val="28"/>
              </w:rPr>
              <w:lastRenderedPageBreak/>
              <w:t>的增加比例逐年扩大应用规模</w:t>
            </w:r>
          </w:p>
        </w:tc>
        <w:tc>
          <w:tcPr>
            <w:tcW w:w="13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lastRenderedPageBreak/>
              <w:t>市公管局、</w:t>
            </w:r>
          </w:p>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t>市建发集团</w:t>
            </w:r>
          </w:p>
        </w:tc>
        <w:tc>
          <w:tcPr>
            <w:tcW w:w="10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市财政局、市城乡建设委、市城管局、市消防支</w:t>
            </w:r>
            <w:r w:rsidRPr="001A1272">
              <w:rPr>
                <w:rFonts w:ascii="仿宋_GB2312" w:eastAsia="仿宋_GB2312" w:hAnsi="宋体" w:cs="宋体" w:hint="eastAsia"/>
                <w:kern w:val="0"/>
                <w:sz w:val="28"/>
                <w:szCs w:val="28"/>
              </w:rPr>
              <w:lastRenderedPageBreak/>
              <w:t>队、各县区等</w:t>
            </w:r>
          </w:p>
        </w:tc>
        <w:tc>
          <w:tcPr>
            <w:tcW w:w="12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lastRenderedPageBreak/>
              <w:t>2018</w:t>
            </w:r>
            <w:r w:rsidRPr="001A1272">
              <w:rPr>
                <w:rFonts w:ascii="仿宋_GB2312" w:eastAsia="仿宋_GB2312" w:hAnsi="宋体" w:cs="宋体" w:hint="eastAsia"/>
                <w:kern w:val="0"/>
                <w:sz w:val="28"/>
                <w:szCs w:val="28"/>
              </w:rPr>
              <w:t>年开始</w:t>
            </w:r>
          </w:p>
        </w:tc>
      </w:tr>
      <w:tr w:rsidR="001A1272" w:rsidRPr="001A1272" w:rsidTr="001A1272">
        <w:trPr>
          <w:jc w:val="center"/>
        </w:trPr>
        <w:tc>
          <w:tcPr>
            <w:tcW w:w="5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lastRenderedPageBreak/>
              <w:t>3</w:t>
            </w:r>
          </w:p>
        </w:tc>
        <w:tc>
          <w:tcPr>
            <w:tcW w:w="19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新增的巡游出租车使用新能源汽车比例不低于</w:t>
            </w:r>
            <w:r w:rsidRPr="001A1272">
              <w:rPr>
                <w:rFonts w:ascii="宋体" w:eastAsia="宋体" w:hAnsi="宋体" w:cs="宋体"/>
                <w:kern w:val="0"/>
                <w:sz w:val="28"/>
                <w:szCs w:val="28"/>
              </w:rPr>
              <w:t>30%</w:t>
            </w:r>
          </w:p>
        </w:tc>
        <w:tc>
          <w:tcPr>
            <w:tcW w:w="13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t>市交通运输局</w:t>
            </w:r>
          </w:p>
        </w:tc>
        <w:tc>
          <w:tcPr>
            <w:tcW w:w="10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 </w:t>
            </w:r>
          </w:p>
        </w:tc>
        <w:tc>
          <w:tcPr>
            <w:tcW w:w="12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2018</w:t>
            </w:r>
            <w:r w:rsidRPr="001A1272">
              <w:rPr>
                <w:rFonts w:ascii="仿宋_GB2312" w:eastAsia="仿宋_GB2312" w:hAnsi="宋体" w:cs="宋体" w:hint="eastAsia"/>
                <w:kern w:val="0"/>
                <w:sz w:val="28"/>
                <w:szCs w:val="28"/>
              </w:rPr>
              <w:t>年开始</w:t>
            </w:r>
          </w:p>
        </w:tc>
      </w:tr>
      <w:tr w:rsidR="001A1272" w:rsidRPr="001A1272" w:rsidTr="001A1272">
        <w:trPr>
          <w:jc w:val="center"/>
        </w:trPr>
        <w:tc>
          <w:tcPr>
            <w:tcW w:w="5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4</w:t>
            </w:r>
          </w:p>
        </w:tc>
        <w:tc>
          <w:tcPr>
            <w:tcW w:w="19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制定淮南市电动汽车充电基础设施建设方案和管理细则</w:t>
            </w:r>
          </w:p>
        </w:tc>
        <w:tc>
          <w:tcPr>
            <w:tcW w:w="13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t>市城乡规划局</w:t>
            </w:r>
          </w:p>
        </w:tc>
        <w:tc>
          <w:tcPr>
            <w:tcW w:w="10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t>市发改委、</w:t>
            </w:r>
          </w:p>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市城乡建设委等</w:t>
            </w:r>
          </w:p>
        </w:tc>
        <w:tc>
          <w:tcPr>
            <w:tcW w:w="12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2018</w:t>
            </w:r>
            <w:r w:rsidRPr="001A1272">
              <w:rPr>
                <w:rFonts w:ascii="仿宋_GB2312" w:eastAsia="仿宋_GB2312" w:hAnsi="宋体" w:cs="宋体" w:hint="eastAsia"/>
                <w:kern w:val="0"/>
                <w:sz w:val="28"/>
                <w:szCs w:val="28"/>
              </w:rPr>
              <w:t>年底</w:t>
            </w:r>
          </w:p>
        </w:tc>
      </w:tr>
      <w:tr w:rsidR="001A1272" w:rsidRPr="001A1272" w:rsidTr="001A1272">
        <w:trPr>
          <w:jc w:val="center"/>
        </w:trPr>
        <w:tc>
          <w:tcPr>
            <w:tcW w:w="5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5</w:t>
            </w:r>
          </w:p>
        </w:tc>
        <w:tc>
          <w:tcPr>
            <w:tcW w:w="19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left"/>
              <w:rPr>
                <w:rFonts w:ascii="宋体" w:eastAsia="宋体" w:hAnsi="宋体" w:cs="宋体"/>
                <w:kern w:val="0"/>
                <w:sz w:val="24"/>
                <w:szCs w:val="24"/>
              </w:rPr>
            </w:pPr>
            <w:r w:rsidRPr="001A1272">
              <w:rPr>
                <w:rFonts w:ascii="仿宋_GB2312" w:eastAsia="仿宋_GB2312" w:hAnsi="宋体" w:cs="宋体" w:hint="eastAsia"/>
                <w:kern w:val="0"/>
                <w:sz w:val="28"/>
                <w:szCs w:val="28"/>
              </w:rPr>
              <w:t>启动新能源汽车专用号牌核发工作</w:t>
            </w:r>
          </w:p>
        </w:tc>
        <w:tc>
          <w:tcPr>
            <w:tcW w:w="13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仿宋_GB2312" w:eastAsia="仿宋_GB2312" w:hAnsi="宋体" w:cs="宋体" w:hint="eastAsia"/>
                <w:kern w:val="0"/>
                <w:sz w:val="28"/>
                <w:szCs w:val="28"/>
              </w:rPr>
              <w:t>市公安局</w:t>
            </w:r>
          </w:p>
        </w:tc>
        <w:tc>
          <w:tcPr>
            <w:tcW w:w="10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 </w:t>
            </w:r>
          </w:p>
        </w:tc>
        <w:tc>
          <w:tcPr>
            <w:tcW w:w="12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1A1272" w:rsidRPr="001A1272" w:rsidRDefault="001A1272" w:rsidP="001A1272">
            <w:pPr>
              <w:widowControl/>
              <w:spacing w:line="330" w:lineRule="atLeast"/>
              <w:jc w:val="center"/>
              <w:rPr>
                <w:rFonts w:ascii="宋体" w:eastAsia="宋体" w:hAnsi="宋体" w:cs="宋体"/>
                <w:kern w:val="0"/>
                <w:sz w:val="24"/>
                <w:szCs w:val="24"/>
              </w:rPr>
            </w:pPr>
            <w:r w:rsidRPr="001A1272">
              <w:rPr>
                <w:rFonts w:ascii="宋体" w:eastAsia="宋体" w:hAnsi="宋体" w:cs="宋体"/>
                <w:kern w:val="0"/>
                <w:sz w:val="28"/>
                <w:szCs w:val="28"/>
              </w:rPr>
              <w:t>2018</w:t>
            </w:r>
            <w:r w:rsidRPr="001A1272">
              <w:rPr>
                <w:rFonts w:ascii="仿宋_GB2312" w:eastAsia="仿宋_GB2312" w:hAnsi="宋体" w:cs="宋体" w:hint="eastAsia"/>
                <w:kern w:val="0"/>
                <w:sz w:val="28"/>
                <w:szCs w:val="28"/>
              </w:rPr>
              <w:t>年</w:t>
            </w:r>
            <w:r w:rsidRPr="001A1272">
              <w:rPr>
                <w:rFonts w:ascii="宋体" w:eastAsia="宋体" w:hAnsi="宋体" w:cs="宋体"/>
                <w:kern w:val="0"/>
                <w:sz w:val="28"/>
                <w:szCs w:val="28"/>
              </w:rPr>
              <w:t>6</w:t>
            </w:r>
            <w:r w:rsidRPr="001A1272">
              <w:rPr>
                <w:rFonts w:ascii="仿宋_GB2312" w:eastAsia="仿宋_GB2312" w:hAnsi="宋体" w:cs="宋体" w:hint="eastAsia"/>
                <w:kern w:val="0"/>
                <w:sz w:val="28"/>
                <w:szCs w:val="28"/>
              </w:rPr>
              <w:t>月底</w:t>
            </w:r>
          </w:p>
        </w:tc>
      </w:tr>
    </w:tbl>
    <w:p w:rsidR="00975739" w:rsidRDefault="00975739">
      <w:bookmarkStart w:id="0" w:name="_GoBack"/>
      <w:bookmarkEnd w:id="0"/>
    </w:p>
    <w:sectPr w:rsidR="009757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7A"/>
    <w:rsid w:val="001A1272"/>
    <w:rsid w:val="002F307A"/>
    <w:rsid w:val="0097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D2010-CBFB-40E0-AD12-EA984D5A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2018-05-15T07:22:00Z</dcterms:created>
  <dcterms:modified xsi:type="dcterms:W3CDTF">2018-05-15T07:22:00Z</dcterms:modified>
</cp:coreProperties>
</file>