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570" w:rsidRDefault="00DF4570" w:rsidP="00DF4570">
      <w:pPr>
        <w:pStyle w:val="3"/>
        <w:spacing w:before="0" w:after="0"/>
        <w:jc w:val="center"/>
        <w:rPr>
          <w:b w:val="0"/>
          <w:bCs w:val="0"/>
          <w:color w:val="A75151"/>
          <w:sz w:val="45"/>
          <w:szCs w:val="45"/>
        </w:rPr>
      </w:pPr>
      <w:bookmarkStart w:id="0" w:name="_GoBack"/>
      <w:bookmarkEnd w:id="0"/>
      <w:r>
        <w:rPr>
          <w:b w:val="0"/>
          <w:bCs w:val="0"/>
          <w:color w:val="A75151"/>
          <w:sz w:val="45"/>
          <w:szCs w:val="45"/>
        </w:rPr>
        <w:t>灌云县人民政府关于加快发展制造业的意见</w:t>
      </w:r>
    </w:p>
    <w:p w:rsidR="00DF4570" w:rsidRDefault="00DF4570" w:rsidP="00DF4570">
      <w:pPr>
        <w:pStyle w:val="date"/>
        <w:pBdr>
          <w:top w:val="single" w:sz="6" w:space="5" w:color="DFDFDF"/>
          <w:left w:val="single" w:sz="6" w:space="0" w:color="DFDFDF"/>
          <w:bottom w:val="single" w:sz="6" w:space="5" w:color="DFDFDF"/>
          <w:right w:val="single" w:sz="6" w:space="0" w:color="DFDFDF"/>
        </w:pBdr>
        <w:shd w:val="clear" w:color="auto" w:fill="F6F6F6"/>
        <w:spacing w:before="0" w:beforeAutospacing="0" w:after="0" w:afterAutospacing="0"/>
        <w:jc w:val="center"/>
      </w:pPr>
      <w:r>
        <w:t>时间：2017-07-17 [ 大 中 小 ] 浏览次数：145 </w:t>
      </w:r>
      <w:hyperlink r:id="rId5" w:history="1">
        <w:r>
          <w:rPr>
            <w:rStyle w:val="a6"/>
            <w:color w:val="575757"/>
          </w:rPr>
          <w:t>[ 打印 ]</w:t>
        </w:r>
      </w:hyperlink>
      <w:r>
        <w:t> </w:t>
      </w:r>
      <w:hyperlink r:id="rId6" w:history="1">
        <w:r>
          <w:rPr>
            <w:rStyle w:val="a6"/>
            <w:color w:val="575757"/>
          </w:rPr>
          <w:t>[ 关闭 ]</w:t>
        </w:r>
      </w:hyperlink>
      <w:r>
        <w:t> </w:t>
      </w:r>
      <w:hyperlink r:id="rId7" w:history="1">
        <w:r>
          <w:rPr>
            <w:rStyle w:val="a6"/>
            <w:color w:val="575757"/>
          </w:rPr>
          <w:t>[ 收藏 ]</w:t>
        </w:r>
      </w:hyperlink>
    </w:p>
    <w:tbl>
      <w:tblPr>
        <w:tblW w:w="5000" w:type="pct"/>
        <w:tblBorders>
          <w:top w:val="outset" w:sz="6" w:space="0" w:color="E6AAA4"/>
          <w:left w:val="outset" w:sz="6" w:space="0" w:color="E6AAA4"/>
          <w:bottom w:val="outset" w:sz="6" w:space="0" w:color="E6AAA4"/>
          <w:right w:val="outset" w:sz="6" w:space="0" w:color="E6AAA4"/>
        </w:tblBorders>
        <w:tblCellMar>
          <w:top w:w="90" w:type="dxa"/>
          <w:left w:w="90" w:type="dxa"/>
          <w:bottom w:w="90" w:type="dxa"/>
          <w:right w:w="90" w:type="dxa"/>
        </w:tblCellMar>
        <w:tblLook w:val="04A0" w:firstRow="1" w:lastRow="0" w:firstColumn="1" w:lastColumn="0" w:noHBand="0" w:noVBand="1"/>
      </w:tblPr>
      <w:tblGrid>
        <w:gridCol w:w="1243"/>
        <w:gridCol w:w="2487"/>
        <w:gridCol w:w="829"/>
        <w:gridCol w:w="1658"/>
        <w:gridCol w:w="829"/>
        <w:gridCol w:w="1244"/>
      </w:tblGrid>
      <w:tr w:rsidR="00DF4570" w:rsidTr="00DF4570">
        <w:tc>
          <w:tcPr>
            <w:tcW w:w="750" w:type="pct"/>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DF4570" w:rsidRDefault="00DF4570">
            <w:pPr>
              <w:jc w:val="center"/>
            </w:pPr>
            <w:r>
              <w:t>信息索引号</w:t>
            </w:r>
          </w:p>
        </w:tc>
        <w:tc>
          <w:tcPr>
            <w:tcW w:w="0" w:type="auto"/>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DF4570" w:rsidRDefault="00DF4570">
            <w:pPr>
              <w:jc w:val="center"/>
            </w:pPr>
            <w:r>
              <w:t>014289132/2017-00271</w:t>
            </w:r>
          </w:p>
        </w:tc>
        <w:tc>
          <w:tcPr>
            <w:tcW w:w="500" w:type="pct"/>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DF4570" w:rsidRDefault="00DF4570">
            <w:pPr>
              <w:jc w:val="center"/>
            </w:pPr>
            <w:r>
              <w:t>分类</w:t>
            </w:r>
          </w:p>
        </w:tc>
        <w:tc>
          <w:tcPr>
            <w:tcW w:w="1000" w:type="pct"/>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DF4570" w:rsidRDefault="00DF4570">
            <w:pPr>
              <w:jc w:val="center"/>
            </w:pPr>
            <w:r>
              <w:t>机械制造与重工业</w:t>
            </w:r>
            <w:r>
              <w:t>,</w:t>
            </w:r>
            <w:r>
              <w:t>轻工纺织</w:t>
            </w:r>
          </w:p>
        </w:tc>
        <w:tc>
          <w:tcPr>
            <w:tcW w:w="500" w:type="pct"/>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DF4570" w:rsidRDefault="00DF4570">
            <w:pPr>
              <w:jc w:val="center"/>
            </w:pPr>
            <w:r>
              <w:t>公开日期</w:t>
            </w:r>
          </w:p>
        </w:tc>
        <w:tc>
          <w:tcPr>
            <w:tcW w:w="750" w:type="pct"/>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DF4570" w:rsidRDefault="00DF4570">
            <w:pPr>
              <w:jc w:val="center"/>
            </w:pPr>
            <w:r>
              <w:t>2017-07-17</w:t>
            </w:r>
          </w:p>
        </w:tc>
      </w:tr>
      <w:tr w:rsidR="00DF4570" w:rsidTr="00DF4570">
        <w:tc>
          <w:tcPr>
            <w:tcW w:w="0" w:type="auto"/>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DF4570" w:rsidRDefault="00DF4570">
            <w:pPr>
              <w:jc w:val="center"/>
            </w:pPr>
            <w:r>
              <w:t>发布机构</w:t>
            </w:r>
          </w:p>
        </w:tc>
        <w:tc>
          <w:tcPr>
            <w:tcW w:w="0" w:type="auto"/>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DF4570" w:rsidRDefault="00DF4570">
            <w:pPr>
              <w:jc w:val="center"/>
            </w:pPr>
            <w:r>
              <w:t>灌云县人民政府办公室</w:t>
            </w:r>
          </w:p>
        </w:tc>
        <w:tc>
          <w:tcPr>
            <w:tcW w:w="0" w:type="auto"/>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DF4570" w:rsidRDefault="00DF4570">
            <w:pPr>
              <w:jc w:val="center"/>
            </w:pPr>
            <w:r>
              <w:t>文号</w:t>
            </w:r>
          </w:p>
        </w:tc>
        <w:tc>
          <w:tcPr>
            <w:tcW w:w="0" w:type="auto"/>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DF4570" w:rsidRDefault="00DF4570">
            <w:pPr>
              <w:jc w:val="center"/>
            </w:pPr>
            <w:r>
              <w:t>灌政发〔</w:t>
            </w:r>
            <w:r>
              <w:t>2017</w:t>
            </w:r>
            <w:r>
              <w:t>〕</w:t>
            </w:r>
            <w:r>
              <w:t>86</w:t>
            </w:r>
            <w:r>
              <w:t>号</w:t>
            </w:r>
          </w:p>
        </w:tc>
        <w:tc>
          <w:tcPr>
            <w:tcW w:w="0" w:type="auto"/>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DF4570" w:rsidRDefault="00DF4570">
            <w:pPr>
              <w:jc w:val="center"/>
            </w:pPr>
            <w:r>
              <w:t>公开时限</w:t>
            </w:r>
          </w:p>
        </w:tc>
        <w:tc>
          <w:tcPr>
            <w:tcW w:w="0" w:type="auto"/>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DF4570" w:rsidRDefault="00DF4570">
            <w:pPr>
              <w:jc w:val="center"/>
            </w:pPr>
            <w:r>
              <w:t>长期公开</w:t>
            </w:r>
          </w:p>
        </w:tc>
      </w:tr>
    </w:tbl>
    <w:p w:rsidR="00DF4570" w:rsidRDefault="00DF4570" w:rsidP="00DF4570">
      <w:pPr>
        <w:spacing w:line="450" w:lineRule="atLeast"/>
        <w:jc w:val="left"/>
        <w:rPr>
          <w:rFonts w:ascii="宋体" w:eastAsia="宋体" w:hAnsi="宋体"/>
          <w:sz w:val="24"/>
          <w:szCs w:val="24"/>
        </w:rPr>
      </w:pPr>
      <w:r>
        <w:rPr>
          <w:noProof/>
        </w:rPr>
        <mc:AlternateContent>
          <mc:Choice Requires="wps">
            <w:drawing>
              <wp:inline distT="0" distB="0" distL="0" distR="0">
                <wp:extent cx="304800" cy="304800"/>
                <wp:effectExtent l="0" t="0" r="0" b="0"/>
                <wp:docPr id="2" name="矩形 2" descr="http://xxgk.guanyun.gov.cn/doc/2017/07/17/97187.s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C3C45" id="矩形 2" o:spid="_x0000_s1026" alt="http://xxgk.guanyun.gov.cn/doc/2017/07/17/97187.s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Lcs7R6wIAAPIF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DF4570" w:rsidRDefault="00DF4570" w:rsidP="00DF4570">
      <w:pPr>
        <w:pStyle w:val="a3"/>
        <w:spacing w:before="0" w:beforeAutospacing="0" w:after="0" w:afterAutospacing="0" w:line="520" w:lineRule="atLeast"/>
        <w:rPr>
          <w:rFonts w:ascii="微软雅黑" w:eastAsia="微软雅黑" w:hAnsi="微软雅黑"/>
          <w:color w:val="575757"/>
        </w:rPr>
      </w:pPr>
      <w:r>
        <w:rPr>
          <w:rFonts w:ascii="仿宋_GB2312" w:eastAsia="仿宋_GB2312" w:hAnsi="微软雅黑" w:hint="eastAsia"/>
          <w:color w:val="575757"/>
          <w:sz w:val="32"/>
          <w:szCs w:val="32"/>
        </w:rPr>
        <w:t>各乡镇（街道）人民政府（办事处），县各委、办、局，县各直属单位：</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仿宋_GB2312" w:eastAsia="仿宋_GB2312" w:hAnsi="微软雅黑" w:hint="eastAsia"/>
          <w:color w:val="575757"/>
          <w:sz w:val="32"/>
          <w:szCs w:val="32"/>
        </w:rPr>
        <w:t>为深入实施《中国制造</w:t>
      </w:r>
      <w:r>
        <w:rPr>
          <w:rFonts w:ascii="Times New Roman" w:eastAsia="微软雅黑" w:hAnsi="Times New Roman" w:cs="Times New Roman"/>
          <w:color w:val="575757"/>
          <w:sz w:val="32"/>
          <w:szCs w:val="32"/>
        </w:rPr>
        <w:t>2025</w:t>
      </w:r>
      <w:r>
        <w:rPr>
          <w:rFonts w:ascii="仿宋_GB2312" w:eastAsia="仿宋_GB2312" w:hAnsi="微软雅黑" w:hint="eastAsia"/>
          <w:color w:val="575757"/>
          <w:sz w:val="32"/>
          <w:szCs w:val="32"/>
        </w:rPr>
        <w:t>江苏行动纲要》，贯彻落实《省政府关于加快发展先进制造业振兴实体经济若干政策措施的意见》（苏政发〔</w:t>
      </w:r>
      <w:r>
        <w:rPr>
          <w:rFonts w:ascii="Times New Roman" w:eastAsia="微软雅黑" w:hAnsi="Times New Roman" w:cs="Times New Roman"/>
          <w:color w:val="575757"/>
          <w:sz w:val="32"/>
          <w:szCs w:val="32"/>
        </w:rPr>
        <w:t>2017</w:t>
      </w:r>
      <w:r>
        <w:rPr>
          <w:rFonts w:ascii="仿宋_GB2312" w:eastAsia="仿宋_GB2312" w:hAnsi="微软雅黑" w:hint="eastAsia"/>
          <w:color w:val="575757"/>
          <w:sz w:val="32"/>
          <w:szCs w:val="32"/>
        </w:rPr>
        <w:t>〕</w:t>
      </w:r>
      <w:r>
        <w:rPr>
          <w:rFonts w:ascii="Times New Roman" w:eastAsia="微软雅黑" w:hAnsi="Times New Roman" w:cs="Times New Roman"/>
          <w:color w:val="575757"/>
          <w:sz w:val="32"/>
          <w:szCs w:val="32"/>
        </w:rPr>
        <w:t>25</w:t>
      </w:r>
      <w:r>
        <w:rPr>
          <w:rFonts w:ascii="仿宋_GB2312" w:eastAsia="仿宋_GB2312" w:hAnsi="微软雅黑" w:hint="eastAsia"/>
          <w:color w:val="575757"/>
          <w:sz w:val="32"/>
          <w:szCs w:val="32"/>
        </w:rPr>
        <w:t>号）文件精神，促进灌云制造业加快发展，现提出如下意见。</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黑体" w:eastAsia="黑体" w:hAnsi="黑体" w:hint="eastAsia"/>
          <w:color w:val="575757"/>
          <w:sz w:val="32"/>
          <w:szCs w:val="32"/>
        </w:rPr>
        <w:t>一、总体要求</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仿宋_GB2312" w:eastAsia="仿宋_GB2312" w:hAnsi="微软雅黑" w:hint="eastAsia"/>
          <w:color w:val="575757"/>
          <w:sz w:val="32"/>
          <w:szCs w:val="32"/>
        </w:rPr>
        <w:t>实施产业强县战略，深入推进供给侧结构性改革，重点实施工业基础能力建设、传统产业转型升级、特色产业集群培育、智能制造水平提升、重点领域技术攻关等专项行动，</w:t>
      </w:r>
      <w:proofErr w:type="gramStart"/>
      <w:r>
        <w:rPr>
          <w:rFonts w:ascii="仿宋_GB2312" w:eastAsia="仿宋_GB2312" w:hAnsi="微软雅黑" w:hint="eastAsia"/>
          <w:color w:val="575757"/>
          <w:sz w:val="32"/>
          <w:szCs w:val="32"/>
        </w:rPr>
        <w:t>做优做</w:t>
      </w:r>
      <w:proofErr w:type="gramEnd"/>
      <w:r>
        <w:rPr>
          <w:rFonts w:ascii="仿宋_GB2312" w:eastAsia="仿宋_GB2312" w:hAnsi="微软雅黑" w:hint="eastAsia"/>
          <w:color w:val="575757"/>
          <w:sz w:val="32"/>
          <w:szCs w:val="32"/>
        </w:rPr>
        <w:t>强企业，构筑工业载体，打造特色产业集群，构建新型制造业体系、协同创新体系、人才支撑体系、政策保障体系，夯实基础，推动制造业向中高端迈进，实现制造业科学发展、创新发展、跨越发展。</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黑体" w:eastAsia="黑体" w:hAnsi="黑体" w:hint="eastAsia"/>
          <w:color w:val="575757"/>
          <w:sz w:val="32"/>
          <w:szCs w:val="32"/>
        </w:rPr>
        <w:t>二、主要目标</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lastRenderedPageBreak/>
        <w:t>（一）经济总量不断壮大</w:t>
      </w:r>
      <w:r>
        <w:rPr>
          <w:rFonts w:ascii="仿宋_GB2312" w:eastAsia="仿宋_GB2312" w:hAnsi="微软雅黑" w:hint="eastAsia"/>
          <w:color w:val="575757"/>
          <w:sz w:val="32"/>
          <w:szCs w:val="32"/>
        </w:rPr>
        <w:t>。到</w:t>
      </w:r>
      <w:r>
        <w:rPr>
          <w:rFonts w:ascii="Times New Roman" w:eastAsia="微软雅黑" w:hAnsi="Times New Roman" w:cs="Times New Roman"/>
          <w:color w:val="575757"/>
          <w:sz w:val="32"/>
          <w:szCs w:val="32"/>
        </w:rPr>
        <w:t>2020</w:t>
      </w:r>
      <w:r>
        <w:rPr>
          <w:rFonts w:ascii="仿宋_GB2312" w:eastAsia="仿宋_GB2312" w:hAnsi="微软雅黑" w:hint="eastAsia"/>
          <w:color w:val="575757"/>
          <w:sz w:val="32"/>
          <w:szCs w:val="32"/>
        </w:rPr>
        <w:t>年，全县规模以上工业总产值达到</w:t>
      </w:r>
      <w:r>
        <w:rPr>
          <w:rFonts w:ascii="Times New Roman" w:eastAsia="微软雅黑" w:hAnsi="Times New Roman" w:cs="Times New Roman"/>
          <w:color w:val="575757"/>
          <w:sz w:val="32"/>
          <w:szCs w:val="32"/>
        </w:rPr>
        <w:t>1800</w:t>
      </w:r>
      <w:r>
        <w:rPr>
          <w:rFonts w:ascii="仿宋_GB2312" w:eastAsia="仿宋_GB2312" w:hAnsi="微软雅黑" w:hint="eastAsia"/>
          <w:color w:val="575757"/>
          <w:sz w:val="32"/>
          <w:szCs w:val="32"/>
        </w:rPr>
        <w:t>亿元，</w:t>
      </w:r>
      <w:proofErr w:type="gramStart"/>
      <w:r>
        <w:rPr>
          <w:rFonts w:ascii="仿宋_GB2312" w:eastAsia="仿宋_GB2312" w:hAnsi="微软雅黑" w:hint="eastAsia"/>
          <w:color w:val="575757"/>
          <w:sz w:val="32"/>
          <w:szCs w:val="32"/>
        </w:rPr>
        <w:t>规</w:t>
      </w:r>
      <w:proofErr w:type="gramEnd"/>
      <w:r>
        <w:rPr>
          <w:rFonts w:ascii="仿宋_GB2312" w:eastAsia="仿宋_GB2312" w:hAnsi="微软雅黑" w:hint="eastAsia"/>
          <w:color w:val="575757"/>
          <w:sz w:val="32"/>
          <w:szCs w:val="32"/>
        </w:rPr>
        <w:t>上工业增加值率逐年提高，主要工业产品质量大幅提升，制造业质量竞争力指数逐年增加。充分发挥临港产业区、经济开发区制造业发展主力军作用，规模以上工业现价产值在</w:t>
      </w:r>
      <w:proofErr w:type="gramStart"/>
      <w:r>
        <w:rPr>
          <w:rFonts w:ascii="仿宋_GB2312" w:eastAsia="仿宋_GB2312" w:hAnsi="微软雅黑" w:hint="eastAsia"/>
          <w:color w:val="575757"/>
          <w:sz w:val="32"/>
          <w:szCs w:val="32"/>
        </w:rPr>
        <w:t>全县占</w:t>
      </w:r>
      <w:proofErr w:type="gramEnd"/>
      <w:r>
        <w:rPr>
          <w:rFonts w:ascii="仿宋_GB2312" w:eastAsia="仿宋_GB2312" w:hAnsi="微软雅黑" w:hint="eastAsia"/>
          <w:color w:val="575757"/>
          <w:sz w:val="32"/>
          <w:szCs w:val="32"/>
        </w:rPr>
        <w:t>比超过</w:t>
      </w:r>
      <w:r>
        <w:rPr>
          <w:rFonts w:ascii="Times New Roman" w:eastAsia="微软雅黑" w:hAnsi="Times New Roman" w:cs="Times New Roman"/>
          <w:color w:val="575757"/>
          <w:sz w:val="32"/>
          <w:szCs w:val="32"/>
        </w:rPr>
        <w:t>80%</w:t>
      </w:r>
      <w:r>
        <w:rPr>
          <w:rFonts w:ascii="仿宋_GB2312" w:eastAsia="仿宋_GB2312" w:hAnsi="微软雅黑" w:hint="eastAsia"/>
          <w:color w:val="575757"/>
          <w:sz w:val="32"/>
          <w:szCs w:val="32"/>
        </w:rPr>
        <w:t>，规模以上企业数量在</w:t>
      </w:r>
      <w:proofErr w:type="gramStart"/>
      <w:r>
        <w:rPr>
          <w:rFonts w:ascii="仿宋_GB2312" w:eastAsia="仿宋_GB2312" w:hAnsi="微软雅黑" w:hint="eastAsia"/>
          <w:color w:val="575757"/>
          <w:sz w:val="32"/>
          <w:szCs w:val="32"/>
        </w:rPr>
        <w:t>全县占</w:t>
      </w:r>
      <w:proofErr w:type="gramEnd"/>
      <w:r>
        <w:rPr>
          <w:rFonts w:ascii="仿宋_GB2312" w:eastAsia="仿宋_GB2312" w:hAnsi="微软雅黑" w:hint="eastAsia"/>
          <w:color w:val="575757"/>
          <w:sz w:val="32"/>
          <w:szCs w:val="32"/>
        </w:rPr>
        <w:t>比超过</w:t>
      </w:r>
      <w:r>
        <w:rPr>
          <w:rFonts w:ascii="Times New Roman" w:eastAsia="微软雅黑" w:hAnsi="Times New Roman" w:cs="Times New Roman"/>
          <w:color w:val="575757"/>
          <w:sz w:val="32"/>
          <w:szCs w:val="32"/>
        </w:rPr>
        <w:t>80%</w:t>
      </w:r>
      <w:r>
        <w:rPr>
          <w:rFonts w:ascii="仿宋_GB2312" w:eastAsia="仿宋_GB2312" w:hAnsi="微软雅黑" w:hint="eastAsia"/>
          <w:color w:val="575757"/>
          <w:sz w:val="32"/>
          <w:szCs w:val="32"/>
        </w:rPr>
        <w:t>，</w:t>
      </w:r>
      <w:r>
        <w:rPr>
          <w:rFonts w:ascii="Times New Roman" w:eastAsia="微软雅黑" w:hAnsi="Times New Roman" w:cs="Times New Roman"/>
          <w:color w:val="575757"/>
          <w:sz w:val="32"/>
          <w:szCs w:val="32"/>
        </w:rPr>
        <w:t>2020</w:t>
      </w:r>
      <w:r>
        <w:rPr>
          <w:rFonts w:ascii="仿宋_GB2312" w:eastAsia="仿宋_GB2312" w:hAnsi="微软雅黑" w:hint="eastAsia"/>
          <w:color w:val="575757"/>
          <w:sz w:val="32"/>
          <w:szCs w:val="32"/>
        </w:rPr>
        <w:t>年现价产值分别达到</w:t>
      </w:r>
      <w:r>
        <w:rPr>
          <w:rFonts w:ascii="Times New Roman" w:eastAsia="微软雅黑" w:hAnsi="Times New Roman" w:cs="Times New Roman"/>
          <w:color w:val="575757"/>
          <w:sz w:val="32"/>
          <w:szCs w:val="32"/>
        </w:rPr>
        <w:t>1000</w:t>
      </w:r>
      <w:r>
        <w:rPr>
          <w:rFonts w:ascii="仿宋_GB2312" w:eastAsia="仿宋_GB2312" w:hAnsi="微软雅黑" w:hint="eastAsia"/>
          <w:color w:val="575757"/>
          <w:sz w:val="32"/>
          <w:szCs w:val="32"/>
        </w:rPr>
        <w:t>亿元和</w:t>
      </w:r>
      <w:r>
        <w:rPr>
          <w:rFonts w:ascii="Times New Roman" w:eastAsia="微软雅黑" w:hAnsi="Times New Roman" w:cs="Times New Roman"/>
          <w:color w:val="575757"/>
          <w:sz w:val="32"/>
          <w:szCs w:val="32"/>
        </w:rPr>
        <w:t>500</w:t>
      </w:r>
      <w:r>
        <w:rPr>
          <w:rFonts w:ascii="仿宋_GB2312" w:eastAsia="仿宋_GB2312" w:hAnsi="微软雅黑" w:hint="eastAsia"/>
          <w:color w:val="575757"/>
          <w:sz w:val="32"/>
          <w:szCs w:val="32"/>
        </w:rPr>
        <w:t>亿元。加强园区标准化建设，引导经济开发区、临港产业区升格为国家级、省级园区。加快乡镇工业集中区建设，</w:t>
      </w:r>
      <w:r>
        <w:rPr>
          <w:rFonts w:ascii="Times New Roman" w:eastAsia="微软雅黑" w:hAnsi="Times New Roman" w:cs="Times New Roman"/>
          <w:color w:val="575757"/>
          <w:sz w:val="32"/>
          <w:szCs w:val="32"/>
        </w:rPr>
        <w:t> 2020</w:t>
      </w:r>
      <w:r>
        <w:rPr>
          <w:rFonts w:ascii="仿宋_GB2312" w:eastAsia="仿宋_GB2312" w:hAnsi="微软雅黑" w:hint="eastAsia"/>
          <w:color w:val="575757"/>
          <w:sz w:val="32"/>
          <w:szCs w:val="32"/>
        </w:rPr>
        <w:t>年现价产值达到</w:t>
      </w:r>
      <w:r>
        <w:rPr>
          <w:rFonts w:ascii="Times New Roman" w:eastAsia="微软雅黑" w:hAnsi="Times New Roman" w:cs="Times New Roman"/>
          <w:color w:val="575757"/>
          <w:sz w:val="32"/>
          <w:szCs w:val="32"/>
        </w:rPr>
        <w:t>300</w:t>
      </w:r>
      <w:r>
        <w:rPr>
          <w:rFonts w:ascii="仿宋_GB2312" w:eastAsia="仿宋_GB2312" w:hAnsi="微软雅黑" w:hint="eastAsia"/>
          <w:color w:val="575757"/>
          <w:sz w:val="32"/>
          <w:szCs w:val="32"/>
        </w:rPr>
        <w:t>亿元。</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（二）产业结构持续优化</w:t>
      </w:r>
      <w:r>
        <w:rPr>
          <w:rFonts w:ascii="仿宋_GB2312" w:eastAsia="仿宋_GB2312" w:hAnsi="微软雅黑" w:hint="eastAsia"/>
          <w:color w:val="575757"/>
          <w:sz w:val="32"/>
          <w:szCs w:val="32"/>
        </w:rPr>
        <w:t>。逐步淘汰落后产能，提升临海化工业、装备制造业、轻工纺织业等优势传统产业品质。大力发展新材料、高端装备制造、新能源汽车等战略性新兴产业；推动制造业服务化，打造制造业升级版；到</w:t>
      </w:r>
      <w:r>
        <w:rPr>
          <w:rFonts w:ascii="Times New Roman" w:eastAsia="微软雅黑" w:hAnsi="Times New Roman" w:cs="Times New Roman"/>
          <w:color w:val="575757"/>
          <w:sz w:val="32"/>
          <w:szCs w:val="32"/>
        </w:rPr>
        <w:t>2020</w:t>
      </w:r>
      <w:r>
        <w:rPr>
          <w:rFonts w:ascii="仿宋_GB2312" w:eastAsia="仿宋_GB2312" w:hAnsi="微软雅黑" w:hint="eastAsia"/>
          <w:color w:val="575757"/>
          <w:sz w:val="32"/>
          <w:szCs w:val="32"/>
        </w:rPr>
        <w:t>年，全县培育产值过百亿元企业</w:t>
      </w:r>
      <w:r>
        <w:rPr>
          <w:rFonts w:ascii="Times New Roman" w:eastAsia="微软雅黑" w:hAnsi="Times New Roman" w:cs="Times New Roman"/>
          <w:color w:val="575757"/>
          <w:sz w:val="32"/>
          <w:szCs w:val="32"/>
        </w:rPr>
        <w:t>2</w:t>
      </w:r>
      <w:r>
        <w:rPr>
          <w:rFonts w:ascii="仿宋_GB2312" w:eastAsia="仿宋_GB2312" w:hAnsi="微软雅黑" w:hint="eastAsia"/>
          <w:color w:val="575757"/>
          <w:sz w:val="32"/>
          <w:szCs w:val="32"/>
        </w:rPr>
        <w:t>个，过</w:t>
      </w:r>
      <w:r>
        <w:rPr>
          <w:rFonts w:ascii="Times New Roman" w:eastAsia="微软雅黑" w:hAnsi="Times New Roman" w:cs="Times New Roman"/>
          <w:color w:val="575757"/>
          <w:sz w:val="32"/>
          <w:szCs w:val="32"/>
        </w:rPr>
        <w:t>50</w:t>
      </w:r>
      <w:r>
        <w:rPr>
          <w:rFonts w:ascii="仿宋_GB2312" w:eastAsia="仿宋_GB2312" w:hAnsi="微软雅黑" w:hint="eastAsia"/>
          <w:color w:val="575757"/>
          <w:sz w:val="32"/>
          <w:szCs w:val="32"/>
        </w:rPr>
        <w:t>亿元企业</w:t>
      </w:r>
      <w:r>
        <w:rPr>
          <w:rFonts w:ascii="Times New Roman" w:eastAsia="微软雅黑" w:hAnsi="Times New Roman" w:cs="Times New Roman"/>
          <w:color w:val="575757"/>
          <w:sz w:val="32"/>
          <w:szCs w:val="32"/>
        </w:rPr>
        <w:t>3-4</w:t>
      </w:r>
      <w:r>
        <w:rPr>
          <w:rFonts w:ascii="仿宋_GB2312" w:eastAsia="仿宋_GB2312" w:hAnsi="微软雅黑" w:hint="eastAsia"/>
          <w:color w:val="575757"/>
          <w:sz w:val="32"/>
          <w:szCs w:val="32"/>
        </w:rPr>
        <w:t>个；培育入库税金过亿元企业</w:t>
      </w:r>
      <w:r>
        <w:rPr>
          <w:rFonts w:ascii="Times New Roman" w:eastAsia="微软雅黑" w:hAnsi="Times New Roman" w:cs="Times New Roman"/>
          <w:color w:val="575757"/>
          <w:sz w:val="32"/>
          <w:szCs w:val="32"/>
        </w:rPr>
        <w:t>2</w:t>
      </w:r>
      <w:r>
        <w:rPr>
          <w:rFonts w:ascii="仿宋_GB2312" w:eastAsia="仿宋_GB2312" w:hAnsi="微软雅黑" w:hint="eastAsia"/>
          <w:color w:val="575757"/>
          <w:sz w:val="32"/>
          <w:szCs w:val="32"/>
        </w:rPr>
        <w:t>个，过</w:t>
      </w:r>
      <w:r>
        <w:rPr>
          <w:rFonts w:ascii="Times New Roman" w:eastAsia="微软雅黑" w:hAnsi="Times New Roman" w:cs="Times New Roman"/>
          <w:color w:val="575757"/>
          <w:sz w:val="32"/>
          <w:szCs w:val="32"/>
        </w:rPr>
        <w:t>5000</w:t>
      </w:r>
      <w:r>
        <w:rPr>
          <w:rFonts w:ascii="仿宋_GB2312" w:eastAsia="仿宋_GB2312" w:hAnsi="微软雅黑" w:hint="eastAsia"/>
          <w:color w:val="575757"/>
          <w:sz w:val="32"/>
          <w:szCs w:val="32"/>
        </w:rPr>
        <w:t>万元企业</w:t>
      </w:r>
      <w:r>
        <w:rPr>
          <w:rFonts w:ascii="Times New Roman" w:eastAsia="微软雅黑" w:hAnsi="Times New Roman" w:cs="Times New Roman"/>
          <w:color w:val="575757"/>
          <w:sz w:val="32"/>
          <w:szCs w:val="32"/>
        </w:rPr>
        <w:t>4</w:t>
      </w:r>
      <w:r>
        <w:rPr>
          <w:rFonts w:ascii="仿宋_GB2312" w:eastAsia="仿宋_GB2312" w:hAnsi="微软雅黑" w:hint="eastAsia"/>
          <w:color w:val="575757"/>
          <w:sz w:val="32"/>
          <w:szCs w:val="32"/>
        </w:rPr>
        <w:t>个；培育上市、挂牌企业</w:t>
      </w:r>
      <w:r>
        <w:rPr>
          <w:rFonts w:ascii="Times New Roman" w:eastAsia="微软雅黑" w:hAnsi="Times New Roman" w:cs="Times New Roman"/>
          <w:color w:val="575757"/>
          <w:sz w:val="32"/>
          <w:szCs w:val="32"/>
        </w:rPr>
        <w:t>6-8</w:t>
      </w:r>
      <w:r>
        <w:rPr>
          <w:rFonts w:ascii="仿宋_GB2312" w:eastAsia="仿宋_GB2312" w:hAnsi="微软雅黑" w:hint="eastAsia"/>
          <w:color w:val="575757"/>
          <w:sz w:val="32"/>
          <w:szCs w:val="32"/>
        </w:rPr>
        <w:t>个；培育市级以上专精特新产品</w:t>
      </w:r>
      <w:r>
        <w:rPr>
          <w:rFonts w:ascii="Times New Roman" w:eastAsia="微软雅黑" w:hAnsi="Times New Roman" w:cs="Times New Roman"/>
          <w:color w:val="575757"/>
          <w:sz w:val="32"/>
          <w:szCs w:val="32"/>
        </w:rPr>
        <w:t>4</w:t>
      </w:r>
      <w:r>
        <w:rPr>
          <w:rFonts w:ascii="仿宋_GB2312" w:eastAsia="仿宋_GB2312" w:hAnsi="微软雅黑" w:hint="eastAsia"/>
          <w:color w:val="575757"/>
          <w:sz w:val="32"/>
          <w:szCs w:val="32"/>
        </w:rPr>
        <w:t>个、科技小巨人企业</w:t>
      </w:r>
      <w:r>
        <w:rPr>
          <w:rFonts w:ascii="Times New Roman" w:eastAsia="微软雅黑" w:hAnsi="Times New Roman" w:cs="Times New Roman"/>
          <w:color w:val="575757"/>
          <w:sz w:val="32"/>
          <w:szCs w:val="32"/>
        </w:rPr>
        <w:t>4</w:t>
      </w:r>
      <w:r>
        <w:rPr>
          <w:rFonts w:ascii="仿宋_GB2312" w:eastAsia="仿宋_GB2312" w:hAnsi="微软雅黑" w:hint="eastAsia"/>
          <w:color w:val="575757"/>
          <w:sz w:val="32"/>
          <w:szCs w:val="32"/>
        </w:rPr>
        <w:t>个；培育</w:t>
      </w:r>
      <w:r>
        <w:rPr>
          <w:rFonts w:ascii="Times New Roman" w:eastAsia="微软雅黑" w:hAnsi="Times New Roman" w:cs="Times New Roman"/>
          <w:color w:val="575757"/>
          <w:sz w:val="32"/>
          <w:szCs w:val="32"/>
        </w:rPr>
        <w:t>10</w:t>
      </w:r>
      <w:r>
        <w:rPr>
          <w:rFonts w:ascii="仿宋_GB2312" w:eastAsia="仿宋_GB2312" w:hAnsi="微软雅黑" w:hint="eastAsia"/>
          <w:color w:val="575757"/>
          <w:sz w:val="32"/>
          <w:szCs w:val="32"/>
        </w:rPr>
        <w:t>个以上现代特色产业集群。</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（三）创新发展能力增强</w:t>
      </w:r>
      <w:r>
        <w:rPr>
          <w:rFonts w:ascii="仿宋_GB2312" w:eastAsia="仿宋_GB2312" w:hAnsi="微软雅黑" w:hint="eastAsia"/>
          <w:color w:val="575757"/>
          <w:sz w:val="32"/>
          <w:szCs w:val="32"/>
        </w:rPr>
        <w:t>。到</w:t>
      </w:r>
      <w:r>
        <w:rPr>
          <w:rFonts w:ascii="Times New Roman" w:eastAsia="微软雅黑" w:hAnsi="Times New Roman" w:cs="Times New Roman"/>
          <w:color w:val="575757"/>
          <w:sz w:val="32"/>
          <w:szCs w:val="32"/>
        </w:rPr>
        <w:t>2020</w:t>
      </w:r>
      <w:r>
        <w:rPr>
          <w:rFonts w:ascii="仿宋_GB2312" w:eastAsia="仿宋_GB2312" w:hAnsi="微软雅黑" w:hint="eastAsia"/>
          <w:color w:val="575757"/>
          <w:sz w:val="32"/>
          <w:szCs w:val="32"/>
        </w:rPr>
        <w:t>年，大中型工业企业与规模以上高新技术企业研发机构建有率超过</w:t>
      </w:r>
      <w:r>
        <w:rPr>
          <w:rFonts w:ascii="Times New Roman" w:eastAsia="微软雅黑" w:hAnsi="Times New Roman" w:cs="Times New Roman"/>
          <w:color w:val="575757"/>
          <w:sz w:val="32"/>
          <w:szCs w:val="32"/>
        </w:rPr>
        <w:t>90%</w:t>
      </w:r>
      <w:r>
        <w:rPr>
          <w:rFonts w:ascii="仿宋_GB2312" w:eastAsia="仿宋_GB2312" w:hAnsi="微软雅黑" w:hint="eastAsia"/>
          <w:color w:val="575757"/>
          <w:sz w:val="32"/>
          <w:szCs w:val="32"/>
        </w:rPr>
        <w:t>，新建</w:t>
      </w:r>
      <w:r>
        <w:rPr>
          <w:rFonts w:ascii="Times New Roman" w:eastAsia="微软雅黑" w:hAnsi="Times New Roman" w:cs="Times New Roman"/>
          <w:color w:val="575757"/>
          <w:sz w:val="32"/>
          <w:szCs w:val="32"/>
        </w:rPr>
        <w:t>25</w:t>
      </w:r>
      <w:r>
        <w:rPr>
          <w:rFonts w:ascii="仿宋_GB2312" w:eastAsia="仿宋_GB2312" w:hAnsi="微软雅黑" w:hint="eastAsia"/>
          <w:color w:val="575757"/>
          <w:sz w:val="32"/>
          <w:szCs w:val="32"/>
        </w:rPr>
        <w:t>个省、市级工程（技术）研究中心、企业技术中心等创新支撑平台，全社会研发经费（</w:t>
      </w:r>
      <w:r>
        <w:rPr>
          <w:rFonts w:ascii="Times New Roman" w:eastAsia="微软雅黑" w:hAnsi="Times New Roman" w:cs="Times New Roman"/>
          <w:color w:val="575757"/>
          <w:sz w:val="32"/>
          <w:szCs w:val="32"/>
        </w:rPr>
        <w:t>R&amp;D</w:t>
      </w:r>
      <w:r>
        <w:rPr>
          <w:rFonts w:ascii="仿宋_GB2312" w:eastAsia="仿宋_GB2312" w:hAnsi="微软雅黑" w:hint="eastAsia"/>
          <w:color w:val="575757"/>
          <w:sz w:val="32"/>
          <w:szCs w:val="32"/>
        </w:rPr>
        <w:t>）占国内生产总值</w:t>
      </w:r>
      <w:r>
        <w:rPr>
          <w:rFonts w:ascii="仿宋_GB2312" w:eastAsia="仿宋_GB2312" w:hAnsi="微软雅黑" w:hint="eastAsia"/>
          <w:color w:val="575757"/>
          <w:sz w:val="32"/>
          <w:szCs w:val="32"/>
        </w:rPr>
        <w:lastRenderedPageBreak/>
        <w:t>比例和高新技术产业产值</w:t>
      </w:r>
      <w:proofErr w:type="gramStart"/>
      <w:r>
        <w:rPr>
          <w:rFonts w:ascii="仿宋_GB2312" w:eastAsia="仿宋_GB2312" w:hAnsi="微软雅黑" w:hint="eastAsia"/>
          <w:color w:val="575757"/>
          <w:sz w:val="32"/>
          <w:szCs w:val="32"/>
        </w:rPr>
        <w:t>占规模</w:t>
      </w:r>
      <w:proofErr w:type="gramEnd"/>
      <w:r>
        <w:rPr>
          <w:rFonts w:ascii="仿宋_GB2312" w:eastAsia="仿宋_GB2312" w:hAnsi="微软雅黑" w:hint="eastAsia"/>
          <w:color w:val="575757"/>
          <w:sz w:val="32"/>
          <w:szCs w:val="32"/>
        </w:rPr>
        <w:t>以上工业产值的比例大幅提升；形成以高新技术企业为骨干、科技型中小企业为基础的创新集群，国家级高新技术企业</w:t>
      </w:r>
      <w:r>
        <w:rPr>
          <w:rFonts w:ascii="Times New Roman" w:eastAsia="微软雅黑" w:hAnsi="Times New Roman" w:cs="Times New Roman"/>
          <w:color w:val="575757"/>
          <w:sz w:val="32"/>
          <w:szCs w:val="32"/>
        </w:rPr>
        <w:t>20</w:t>
      </w:r>
      <w:r>
        <w:rPr>
          <w:rFonts w:ascii="仿宋_GB2312" w:eastAsia="仿宋_GB2312" w:hAnsi="微软雅黑" w:hint="eastAsia"/>
          <w:color w:val="575757"/>
          <w:sz w:val="32"/>
          <w:szCs w:val="32"/>
        </w:rPr>
        <w:t>家以上；专利申请量、授权量、万人有效发明专利拥有量较</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十二五</w:t>
      </w:r>
      <w:r>
        <w:rPr>
          <w:rFonts w:ascii="Times New Roman" w:eastAsia="微软雅黑" w:hAnsi="Times New Roman" w:cs="Times New Roman"/>
          <w:color w:val="575757"/>
          <w:sz w:val="32"/>
          <w:szCs w:val="32"/>
        </w:rPr>
        <w:t>”</w:t>
      </w:r>
      <w:proofErr w:type="gramStart"/>
      <w:r>
        <w:rPr>
          <w:rFonts w:ascii="仿宋_GB2312" w:eastAsia="仿宋_GB2312" w:hAnsi="微软雅黑" w:hint="eastAsia"/>
          <w:color w:val="575757"/>
          <w:sz w:val="32"/>
          <w:szCs w:val="32"/>
        </w:rPr>
        <w:t>末实现</w:t>
      </w:r>
      <w:proofErr w:type="gramEnd"/>
      <w:r>
        <w:rPr>
          <w:rFonts w:ascii="仿宋_GB2312" w:eastAsia="仿宋_GB2312" w:hAnsi="微软雅黑" w:hint="eastAsia"/>
          <w:color w:val="575757"/>
          <w:sz w:val="32"/>
          <w:szCs w:val="32"/>
        </w:rPr>
        <w:t>倍增；建成比较完善的技术创新体系，创新创业环境进一步优化，创新能力明显增强。</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（四）智能制造水平提升。</w:t>
      </w:r>
      <w:r>
        <w:rPr>
          <w:rFonts w:ascii="仿宋_GB2312" w:eastAsia="仿宋_GB2312" w:hAnsi="微软雅黑" w:hint="eastAsia"/>
          <w:color w:val="575757"/>
          <w:sz w:val="32"/>
          <w:szCs w:val="32"/>
        </w:rPr>
        <w:t>到</w:t>
      </w:r>
      <w:r>
        <w:rPr>
          <w:rFonts w:ascii="Times New Roman" w:eastAsia="微软雅黑" w:hAnsi="Times New Roman" w:cs="Times New Roman"/>
          <w:color w:val="575757"/>
          <w:sz w:val="32"/>
          <w:szCs w:val="32"/>
        </w:rPr>
        <w:t>2020</w:t>
      </w:r>
      <w:r>
        <w:rPr>
          <w:rFonts w:ascii="仿宋_GB2312" w:eastAsia="仿宋_GB2312" w:hAnsi="微软雅黑" w:hint="eastAsia"/>
          <w:color w:val="575757"/>
          <w:sz w:val="32"/>
          <w:szCs w:val="32"/>
        </w:rPr>
        <w:t>年，企业运用互联网开展研发设计、生产管理、营销服务等的比例达到</w:t>
      </w:r>
      <w:r>
        <w:rPr>
          <w:rFonts w:ascii="Times New Roman" w:eastAsia="微软雅黑" w:hAnsi="Times New Roman" w:cs="Times New Roman"/>
          <w:color w:val="575757"/>
          <w:sz w:val="32"/>
          <w:szCs w:val="32"/>
        </w:rPr>
        <w:t>50%</w:t>
      </w:r>
      <w:r>
        <w:rPr>
          <w:rFonts w:ascii="仿宋_GB2312" w:eastAsia="仿宋_GB2312" w:hAnsi="微软雅黑" w:hint="eastAsia"/>
          <w:color w:val="575757"/>
          <w:sz w:val="32"/>
          <w:szCs w:val="32"/>
        </w:rPr>
        <w:t>以上，智能协同制造、线上线下融合服务模式在重点行业重点企业全面推广，培育</w:t>
      </w:r>
      <w:r>
        <w:rPr>
          <w:rFonts w:ascii="Times New Roman" w:eastAsia="微软雅黑" w:hAnsi="Times New Roman" w:cs="Times New Roman"/>
          <w:color w:val="575757"/>
          <w:sz w:val="32"/>
          <w:szCs w:val="32"/>
        </w:rPr>
        <w:t>10</w:t>
      </w:r>
      <w:r>
        <w:rPr>
          <w:rFonts w:ascii="仿宋_GB2312" w:eastAsia="仿宋_GB2312" w:hAnsi="微软雅黑" w:hint="eastAsia"/>
          <w:color w:val="575757"/>
          <w:sz w:val="32"/>
          <w:szCs w:val="32"/>
        </w:rPr>
        <w:t>个省、市级两化融合示范（试点）企业，建成</w:t>
      </w:r>
      <w:r>
        <w:rPr>
          <w:rFonts w:ascii="Times New Roman" w:eastAsia="微软雅黑" w:hAnsi="Times New Roman" w:cs="Times New Roman"/>
          <w:color w:val="575757"/>
          <w:sz w:val="32"/>
          <w:szCs w:val="32"/>
        </w:rPr>
        <w:t>1-3</w:t>
      </w:r>
      <w:r>
        <w:rPr>
          <w:rFonts w:ascii="仿宋_GB2312" w:eastAsia="仿宋_GB2312" w:hAnsi="微软雅黑" w:hint="eastAsia"/>
          <w:color w:val="575757"/>
          <w:sz w:val="32"/>
          <w:szCs w:val="32"/>
        </w:rPr>
        <w:t>个省级智能车间（工厂）。</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（五）生态</w:t>
      </w:r>
      <w:proofErr w:type="gramStart"/>
      <w:r>
        <w:rPr>
          <w:rFonts w:ascii="楷体_GB2312" w:eastAsia="楷体_GB2312" w:hAnsi="微软雅黑" w:hint="eastAsia"/>
          <w:color w:val="575757"/>
          <w:sz w:val="32"/>
          <w:szCs w:val="32"/>
        </w:rPr>
        <w:t>友好文明</w:t>
      </w:r>
      <w:proofErr w:type="gramEnd"/>
      <w:r>
        <w:rPr>
          <w:rFonts w:ascii="楷体_GB2312" w:eastAsia="楷体_GB2312" w:hAnsi="微软雅黑" w:hint="eastAsia"/>
          <w:color w:val="575757"/>
          <w:sz w:val="32"/>
          <w:szCs w:val="32"/>
        </w:rPr>
        <w:t>发展</w:t>
      </w:r>
      <w:r>
        <w:rPr>
          <w:rFonts w:ascii="仿宋_GB2312" w:eastAsia="仿宋_GB2312" w:hAnsi="微软雅黑" w:hint="eastAsia"/>
          <w:color w:val="575757"/>
          <w:sz w:val="32"/>
          <w:szCs w:val="32"/>
        </w:rPr>
        <w:t>。到</w:t>
      </w:r>
      <w:r>
        <w:rPr>
          <w:rFonts w:ascii="Times New Roman" w:eastAsia="微软雅黑" w:hAnsi="Times New Roman" w:cs="Times New Roman"/>
          <w:color w:val="575757"/>
          <w:sz w:val="32"/>
          <w:szCs w:val="32"/>
        </w:rPr>
        <w:t>2020</w:t>
      </w:r>
      <w:r>
        <w:rPr>
          <w:rFonts w:ascii="仿宋_GB2312" w:eastAsia="仿宋_GB2312" w:hAnsi="微软雅黑" w:hint="eastAsia"/>
          <w:color w:val="575757"/>
          <w:sz w:val="32"/>
          <w:szCs w:val="32"/>
        </w:rPr>
        <w:t>年，单位</w:t>
      </w:r>
      <w:r>
        <w:rPr>
          <w:rFonts w:ascii="Times New Roman" w:eastAsia="微软雅黑" w:hAnsi="Times New Roman" w:cs="Times New Roman"/>
          <w:color w:val="575757"/>
          <w:sz w:val="32"/>
          <w:szCs w:val="32"/>
        </w:rPr>
        <w:t>GDP</w:t>
      </w:r>
      <w:r>
        <w:rPr>
          <w:rFonts w:ascii="仿宋_GB2312" w:eastAsia="仿宋_GB2312" w:hAnsi="微软雅黑" w:hint="eastAsia"/>
          <w:color w:val="575757"/>
          <w:sz w:val="32"/>
          <w:szCs w:val="32"/>
        </w:rPr>
        <w:t>能耗下降</w:t>
      </w:r>
      <w:r>
        <w:rPr>
          <w:rFonts w:ascii="Times New Roman" w:eastAsia="微软雅黑" w:hAnsi="Times New Roman" w:cs="Times New Roman"/>
          <w:color w:val="575757"/>
          <w:sz w:val="32"/>
          <w:szCs w:val="32"/>
        </w:rPr>
        <w:t>13%</w:t>
      </w:r>
      <w:r>
        <w:rPr>
          <w:rFonts w:ascii="仿宋_GB2312" w:eastAsia="仿宋_GB2312" w:hAnsi="微软雅黑" w:hint="eastAsia"/>
          <w:color w:val="575757"/>
          <w:sz w:val="32"/>
          <w:szCs w:val="32"/>
        </w:rPr>
        <w:t>左右；实现环境质量明显改善，主要污染物排放总量大幅减少，环境风险得到有效控制，环境矛盾得到有效化解，群众满意度明显提高，补齐全面建成小康社会的生态短板，推动制造业绿色协调可持续发展。</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黑体" w:eastAsia="黑体" w:hAnsi="黑体" w:hint="eastAsia"/>
          <w:color w:val="575757"/>
          <w:sz w:val="32"/>
          <w:szCs w:val="32"/>
        </w:rPr>
        <w:t>三、重点工作</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（一）鼓励企业</w:t>
      </w:r>
      <w:proofErr w:type="gramStart"/>
      <w:r>
        <w:rPr>
          <w:rFonts w:ascii="楷体_GB2312" w:eastAsia="楷体_GB2312" w:hAnsi="微软雅黑" w:hint="eastAsia"/>
          <w:color w:val="575757"/>
          <w:sz w:val="32"/>
          <w:szCs w:val="32"/>
        </w:rPr>
        <w:t>做优做</w:t>
      </w:r>
      <w:proofErr w:type="gramEnd"/>
      <w:r>
        <w:rPr>
          <w:rFonts w:ascii="楷体_GB2312" w:eastAsia="楷体_GB2312" w:hAnsi="微软雅黑" w:hint="eastAsia"/>
          <w:color w:val="575757"/>
          <w:sz w:val="32"/>
          <w:szCs w:val="32"/>
        </w:rPr>
        <w:t>强</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w:t>
      </w:r>
      <w:r>
        <w:rPr>
          <w:rStyle w:val="a4"/>
          <w:rFonts w:ascii="仿宋_GB2312" w:eastAsia="仿宋_GB2312" w:hAnsi="微软雅黑" w:hint="eastAsia"/>
          <w:color w:val="575757"/>
        </w:rPr>
        <w:t>．打造制造业领军企业。</w:t>
      </w:r>
      <w:r>
        <w:rPr>
          <w:rFonts w:ascii="仿宋_GB2312" w:eastAsia="仿宋_GB2312" w:hAnsi="微软雅黑" w:hint="eastAsia"/>
          <w:color w:val="575757"/>
          <w:sz w:val="32"/>
          <w:szCs w:val="32"/>
        </w:rPr>
        <w:t>实施县级重点企业规模与效益倍增计划，完善领军企业直通车服务制度，建立领导挂钩联系机制，应税销售收入亿元以上企业由县级领导联系。同等条件下领军企业负责人和突出贡献创新人才，可优先推荐</w:t>
      </w:r>
      <w:r>
        <w:rPr>
          <w:rFonts w:ascii="仿宋_GB2312" w:eastAsia="仿宋_GB2312" w:hAnsi="微软雅黑" w:hint="eastAsia"/>
          <w:color w:val="575757"/>
          <w:sz w:val="32"/>
          <w:szCs w:val="32"/>
        </w:rPr>
        <w:lastRenderedPageBreak/>
        <w:t>作为各级劳动模范、先进工作者、</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五一</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劳动奖章或奖状、</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五四</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青年奖章、</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三八</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红旗手等人选。鼓励优质企业对接资本市场，加快推进企业上市进程。培育行业单项冠军，建立县级专精特新小巨人企业培育库和咨询诊断平台，每年认定一批县级专精特新产品和小巨人企业。</w:t>
      </w:r>
      <w:r>
        <w:rPr>
          <w:rFonts w:ascii="楷体_GB2312" w:eastAsia="楷体_GB2312" w:hAnsi="微软雅黑" w:hint="eastAsia"/>
          <w:color w:val="575757"/>
          <w:sz w:val="32"/>
          <w:szCs w:val="32"/>
        </w:rPr>
        <w:t>（</w:t>
      </w:r>
      <w:proofErr w:type="gramStart"/>
      <w:r>
        <w:rPr>
          <w:rFonts w:ascii="楷体_GB2312" w:eastAsia="楷体_GB2312" w:hAnsi="微软雅黑" w:hint="eastAsia"/>
          <w:color w:val="575757"/>
          <w:sz w:val="32"/>
          <w:szCs w:val="32"/>
        </w:rPr>
        <w:t>发改委</w:t>
      </w:r>
      <w:proofErr w:type="gramEnd"/>
      <w:r>
        <w:rPr>
          <w:rFonts w:ascii="楷体_GB2312" w:eastAsia="楷体_GB2312" w:hAnsi="微软雅黑" w:hint="eastAsia"/>
          <w:color w:val="575757"/>
          <w:sz w:val="32"/>
          <w:szCs w:val="32"/>
        </w:rPr>
        <w:t>、经信局、科技局牵头，</w:t>
      </w:r>
      <w:proofErr w:type="gramStart"/>
      <w:r>
        <w:rPr>
          <w:rFonts w:ascii="楷体_GB2312" w:eastAsia="楷体_GB2312" w:hAnsi="微软雅黑" w:hint="eastAsia"/>
          <w:color w:val="575757"/>
          <w:sz w:val="32"/>
          <w:szCs w:val="32"/>
        </w:rPr>
        <w:t>人社局</w:t>
      </w:r>
      <w:proofErr w:type="gramEnd"/>
      <w:r>
        <w:rPr>
          <w:rFonts w:ascii="楷体_GB2312" w:eastAsia="楷体_GB2312" w:hAnsi="微软雅黑" w:hint="eastAsia"/>
          <w:color w:val="575757"/>
          <w:sz w:val="32"/>
          <w:szCs w:val="32"/>
        </w:rPr>
        <w:t>、园区、乡镇（街道）等按职责分工负责）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2</w:t>
      </w:r>
      <w:r>
        <w:rPr>
          <w:rStyle w:val="a4"/>
          <w:rFonts w:ascii="仿宋_GB2312" w:eastAsia="仿宋_GB2312" w:hAnsi="微软雅黑" w:hint="eastAsia"/>
          <w:color w:val="575757"/>
        </w:rPr>
        <w:t>．支持企业增强核心竞争优势。</w:t>
      </w:r>
      <w:r>
        <w:rPr>
          <w:rFonts w:ascii="仿宋_GB2312" w:eastAsia="仿宋_GB2312" w:hAnsi="微软雅黑" w:hint="eastAsia"/>
          <w:color w:val="575757"/>
          <w:sz w:val="32"/>
          <w:szCs w:val="32"/>
        </w:rPr>
        <w:t>加快创新平台建设，支持和鼓励企业建设高水平的企业技术中心、工程（技术）研究中心、研究生工作站、重点实验室等研发机构。鼓励企业积极参与省制造业创新中心建设。推动技术水平领先的企业积极申报国家级高新技术企业。鼓励企业加大研发投入，积极参与重大技术攻关。加快企业创新成果转化应用，加强企业质量和技术标准建设，开展企业品牌创建活动。</w:t>
      </w:r>
      <w:r>
        <w:rPr>
          <w:rFonts w:ascii="楷体_GB2312" w:eastAsia="楷体_GB2312" w:hAnsi="微软雅黑" w:hint="eastAsia"/>
          <w:color w:val="575757"/>
          <w:sz w:val="32"/>
          <w:szCs w:val="32"/>
        </w:rPr>
        <w:t>（科技局、经信局、市场监管局牵头，园区、乡镇（街道）等按职责分工负责）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3</w:t>
      </w:r>
      <w:r>
        <w:rPr>
          <w:rStyle w:val="a4"/>
          <w:rFonts w:ascii="仿宋_GB2312" w:eastAsia="仿宋_GB2312" w:hAnsi="微软雅黑" w:hint="eastAsia"/>
          <w:color w:val="575757"/>
        </w:rPr>
        <w:t>．引导企业加快制造水平提升。</w:t>
      </w:r>
      <w:r>
        <w:rPr>
          <w:rFonts w:ascii="仿宋_GB2312" w:eastAsia="仿宋_GB2312" w:hAnsi="微软雅黑" w:hint="eastAsia"/>
          <w:color w:val="575757"/>
          <w:sz w:val="32"/>
          <w:szCs w:val="32"/>
        </w:rPr>
        <w:t>推进智能制造建设，鼓励有条件的企业参与国家智能制造项目，实施企业制造装备升级计划，鼓励企业建设示范智能车间、工厂。提升互联网化水平，实施企业互联网化提升计划，推动企业研发设计协同化、生产管控集成化、购销经营平台化、制造服务网络化，实现两化融合发展。发展服务型制造，鼓励企业探索</w:t>
      </w:r>
      <w:r>
        <w:rPr>
          <w:rFonts w:ascii="仿宋_GB2312" w:eastAsia="仿宋_GB2312" w:hAnsi="微软雅黑" w:hint="eastAsia"/>
          <w:color w:val="575757"/>
          <w:sz w:val="32"/>
          <w:szCs w:val="32"/>
        </w:rPr>
        <w:lastRenderedPageBreak/>
        <w:t>总集成总承包、个性化定制、在线支持服务、全生命周期管理、品牌管理、创意服务、融资租赁服务等业态。</w:t>
      </w:r>
      <w:r>
        <w:rPr>
          <w:rFonts w:ascii="楷体_GB2312" w:eastAsia="楷体_GB2312" w:hAnsi="微软雅黑" w:hint="eastAsia"/>
          <w:color w:val="575757"/>
          <w:sz w:val="32"/>
          <w:szCs w:val="32"/>
        </w:rPr>
        <w:t>（经信局、商务局牵头，电信公司、移动公司、联通公司、园区、乡镇（街道）等按职责分工负责）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4</w:t>
      </w:r>
      <w:r>
        <w:rPr>
          <w:rStyle w:val="a4"/>
          <w:rFonts w:ascii="仿宋_GB2312" w:eastAsia="仿宋_GB2312" w:hAnsi="微软雅黑" w:hint="eastAsia"/>
          <w:color w:val="575757"/>
        </w:rPr>
        <w:t>．大力化解过剩产能、淘汰落后产能。</w:t>
      </w:r>
      <w:r>
        <w:rPr>
          <w:rFonts w:ascii="仿宋_GB2312" w:eastAsia="仿宋_GB2312" w:hAnsi="微软雅黑" w:hint="eastAsia"/>
          <w:color w:val="575757"/>
          <w:sz w:val="32"/>
          <w:szCs w:val="32"/>
        </w:rPr>
        <w:t>贯彻落实省市</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两减六治三提升</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四个一批</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专项行动方案，推进供给侧结构性改革，按照排定的过剩产能、落后产能企业名单，制定去产能推进计划。采用市场化手段推进过剩产能退出、企业兼并重组和产业转型升级。</w:t>
      </w:r>
      <w:r>
        <w:rPr>
          <w:rFonts w:ascii="楷体_GB2312" w:eastAsia="楷体_GB2312" w:hAnsi="微软雅黑" w:hint="eastAsia"/>
          <w:color w:val="575757"/>
          <w:sz w:val="32"/>
          <w:szCs w:val="32"/>
        </w:rPr>
        <w:t>（经信局牵头，财政局、环保局、安监局、市场监管局、园区、乡镇（街道）等按职责分工负责）</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（二）强化工业载体建设</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5</w:t>
      </w:r>
      <w:r>
        <w:rPr>
          <w:rStyle w:val="a4"/>
          <w:rFonts w:ascii="仿宋_GB2312" w:eastAsia="仿宋_GB2312" w:hAnsi="微软雅黑" w:hint="eastAsia"/>
          <w:color w:val="575757"/>
        </w:rPr>
        <w:t>．加强产业规划引领。</w:t>
      </w:r>
      <w:r>
        <w:rPr>
          <w:rFonts w:ascii="仿宋_GB2312" w:eastAsia="仿宋_GB2312" w:hAnsi="微软雅黑" w:hint="eastAsia"/>
          <w:color w:val="575757"/>
          <w:sz w:val="32"/>
          <w:szCs w:val="32"/>
        </w:rPr>
        <w:t>制定具有前瞻性、科学性和可操作性的灌云县制造业发展规划，推进制造业转型升级、优化生产力布局、构建现代产业体系、提升经济综合竞争力。编制经济开发区、临港产业区、乡镇工业集中区规划，强化标准化建设，打造现代化园区，在特定的地理空间上为产业</w:t>
      </w:r>
      <w:proofErr w:type="gramStart"/>
      <w:r>
        <w:rPr>
          <w:rFonts w:ascii="仿宋_GB2312" w:eastAsia="仿宋_GB2312" w:hAnsi="微软雅黑" w:hint="eastAsia"/>
          <w:color w:val="575757"/>
          <w:sz w:val="32"/>
          <w:szCs w:val="32"/>
        </w:rPr>
        <w:t>集群化</w:t>
      </w:r>
      <w:proofErr w:type="gramEnd"/>
      <w:r>
        <w:rPr>
          <w:rFonts w:ascii="仿宋_GB2312" w:eastAsia="仿宋_GB2312" w:hAnsi="微软雅黑" w:hint="eastAsia"/>
          <w:color w:val="575757"/>
          <w:sz w:val="32"/>
          <w:szCs w:val="32"/>
        </w:rPr>
        <w:t>发展奠定基础。</w:t>
      </w:r>
      <w:r>
        <w:rPr>
          <w:rFonts w:ascii="楷体_GB2312" w:eastAsia="楷体_GB2312" w:hAnsi="微软雅黑" w:hint="eastAsia"/>
          <w:color w:val="575757"/>
          <w:sz w:val="32"/>
          <w:szCs w:val="32"/>
        </w:rPr>
        <w:t>（</w:t>
      </w:r>
      <w:proofErr w:type="gramStart"/>
      <w:r>
        <w:rPr>
          <w:rFonts w:ascii="楷体_GB2312" w:eastAsia="楷体_GB2312" w:hAnsi="微软雅黑" w:hint="eastAsia"/>
          <w:color w:val="575757"/>
          <w:sz w:val="32"/>
          <w:szCs w:val="32"/>
        </w:rPr>
        <w:t>发改委</w:t>
      </w:r>
      <w:proofErr w:type="gramEnd"/>
      <w:r>
        <w:rPr>
          <w:rFonts w:ascii="楷体_GB2312" w:eastAsia="楷体_GB2312" w:hAnsi="微软雅黑" w:hint="eastAsia"/>
          <w:color w:val="575757"/>
          <w:sz w:val="32"/>
          <w:szCs w:val="32"/>
        </w:rPr>
        <w:t>、经信局、招商局牵头，园区、乡镇（街道）等按职责分工负责）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6</w:t>
      </w:r>
      <w:r>
        <w:rPr>
          <w:rStyle w:val="a4"/>
          <w:rFonts w:ascii="仿宋_GB2312" w:eastAsia="仿宋_GB2312" w:hAnsi="微软雅黑" w:hint="eastAsia"/>
          <w:color w:val="575757"/>
        </w:rPr>
        <w:t>．推动产业园区市场化运营。</w:t>
      </w:r>
      <w:r>
        <w:rPr>
          <w:rFonts w:ascii="仿宋_GB2312" w:eastAsia="仿宋_GB2312" w:hAnsi="微软雅黑" w:hint="eastAsia"/>
          <w:color w:val="575757"/>
          <w:sz w:val="32"/>
          <w:szCs w:val="32"/>
        </w:rPr>
        <w:t>围绕园区运营目标，在园区的规划开发、经营管理的过程中引入先进理念和经营策略，提升园区的运营水平，提高园区运营效益。设计产业园区</w:t>
      </w:r>
      <w:r>
        <w:rPr>
          <w:rFonts w:ascii="仿宋_GB2312" w:eastAsia="仿宋_GB2312" w:hAnsi="微软雅黑" w:hint="eastAsia"/>
          <w:color w:val="575757"/>
          <w:sz w:val="32"/>
          <w:szCs w:val="32"/>
        </w:rPr>
        <w:lastRenderedPageBreak/>
        <w:t>招商引资系统，确定目标客户群，有针对性进行招商政策策划、招商策略策划、主题招商策划及招商活动筹划。鼓励经济开发区、临港产业区充分发挥好自身融资平台的作用，大力推进各种基础设施、标准化厂房、产业综合体、办公楼宇、独立工厂等物业载体建设，县政府将给予相关政策的支持和倾斜。</w:t>
      </w:r>
      <w:r>
        <w:rPr>
          <w:rFonts w:ascii="楷体_GB2312" w:eastAsia="楷体_GB2312" w:hAnsi="微软雅黑" w:hint="eastAsia"/>
          <w:color w:val="575757"/>
          <w:sz w:val="32"/>
          <w:szCs w:val="32"/>
        </w:rPr>
        <w:t>（招商局、财政局、经信局、园区、乡镇（街道）等按职责分工负责）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7</w:t>
      </w:r>
      <w:r>
        <w:rPr>
          <w:rStyle w:val="a4"/>
          <w:rFonts w:ascii="仿宋_GB2312" w:eastAsia="仿宋_GB2312" w:hAnsi="微软雅黑" w:hint="eastAsia"/>
          <w:color w:val="575757"/>
        </w:rPr>
        <w:t>．大力推进产业绿色低碳循环发展。</w:t>
      </w:r>
      <w:r>
        <w:rPr>
          <w:rFonts w:ascii="仿宋_GB2312" w:eastAsia="仿宋_GB2312" w:hAnsi="微软雅黑" w:hint="eastAsia"/>
          <w:color w:val="575757"/>
          <w:sz w:val="32"/>
          <w:szCs w:val="32"/>
        </w:rPr>
        <w:t>促进工业能效提升，支持创建国家和省级能效</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领跑者</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企业，对实施节能技术改造重点项目成效明显的，县政府给予奖补。强化工业污染防治，大力实施工业污染源全面达标排放计划，集中力量突破一批污染治理共性关键技术，实施一批工业清洁生产改造重点项目，支持创建绿色工厂、绿色供应链。发展工业循环经济，推进工业园区实施循环化改造，培育绿色工业示范园区，推动工业固体废物资源综合利用和可再生资源回收利用，发展再制造产业。</w:t>
      </w:r>
      <w:r>
        <w:rPr>
          <w:rFonts w:ascii="楷体_GB2312" w:eastAsia="楷体_GB2312" w:hAnsi="微软雅黑" w:hint="eastAsia"/>
          <w:color w:val="575757"/>
          <w:sz w:val="32"/>
          <w:szCs w:val="32"/>
        </w:rPr>
        <w:t>（经信局、环保局、财政局牵头，园区、乡镇（街道）等按职责分工负责）</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（三）积极培育产业集群</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8</w:t>
      </w:r>
      <w:r>
        <w:rPr>
          <w:rStyle w:val="a4"/>
          <w:rFonts w:ascii="仿宋_GB2312" w:eastAsia="仿宋_GB2312" w:hAnsi="微软雅黑" w:hint="eastAsia"/>
          <w:color w:val="575757"/>
        </w:rPr>
        <w:t>．强化重点领域技术攻关。</w:t>
      </w:r>
      <w:r>
        <w:rPr>
          <w:rFonts w:ascii="仿宋_GB2312" w:eastAsia="仿宋_GB2312" w:hAnsi="微软雅黑" w:hint="eastAsia"/>
          <w:color w:val="575757"/>
          <w:sz w:val="32"/>
          <w:szCs w:val="32"/>
        </w:rPr>
        <w:t>结合我县工业基础，重点培育轻工纺织、食品与健康、临海装备、农机装备等特色产业集群。对于重点领域存在的共性技术难题，完善技术联合攻关机制，组织实施县级重大技术攻关专项工程，每年发布</w:t>
      </w:r>
      <w:r>
        <w:rPr>
          <w:rFonts w:ascii="仿宋_GB2312" w:eastAsia="仿宋_GB2312" w:hAnsi="微软雅黑" w:hint="eastAsia"/>
          <w:color w:val="575757"/>
          <w:sz w:val="32"/>
          <w:szCs w:val="32"/>
        </w:rPr>
        <w:lastRenderedPageBreak/>
        <w:t>县级共性关键技术、重大成套装备、工业强基、重点产品质量攻关导向目录，面向社会招标。</w:t>
      </w:r>
      <w:r>
        <w:rPr>
          <w:rFonts w:ascii="楷体_GB2312" w:eastAsia="楷体_GB2312" w:hAnsi="微软雅黑" w:hint="eastAsia"/>
          <w:color w:val="575757"/>
          <w:sz w:val="32"/>
          <w:szCs w:val="32"/>
        </w:rPr>
        <w:t>（经信局牵头，财政局、科技局、园区、乡镇（街道）等按职责分工负责）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9</w:t>
      </w:r>
      <w:r>
        <w:rPr>
          <w:rStyle w:val="a4"/>
          <w:rFonts w:ascii="仿宋_GB2312" w:eastAsia="仿宋_GB2312" w:hAnsi="微软雅黑" w:hint="eastAsia"/>
          <w:color w:val="575757"/>
        </w:rPr>
        <w:t>．积极发展中高端制造业。</w:t>
      </w:r>
      <w:r>
        <w:rPr>
          <w:rFonts w:ascii="仿宋_GB2312" w:eastAsia="仿宋_GB2312" w:hAnsi="微软雅黑" w:hint="eastAsia"/>
          <w:color w:val="575757"/>
          <w:sz w:val="32"/>
          <w:szCs w:val="32"/>
        </w:rPr>
        <w:t>强化招商引资，采取政府与社会资本合作模式，加大战略性新兴产业、先进制造业投资力度，每年实施一批产业化项目。支持改造提升优势传统产业，推动流程再造、管理变革，引导企业加大投入实现智能化转型。加快发展现代生产服务业，支持产业园区发展现代物流、工业设计、科技服务、信息技术服务、金融服务、商务服务、电子商务、节能环保服务等生产性服务业。</w:t>
      </w:r>
      <w:r>
        <w:rPr>
          <w:rFonts w:ascii="楷体_GB2312" w:eastAsia="楷体_GB2312" w:hAnsi="微软雅黑" w:hint="eastAsia"/>
          <w:color w:val="575757"/>
          <w:sz w:val="32"/>
          <w:szCs w:val="32"/>
        </w:rPr>
        <w:t>（经信局、</w:t>
      </w:r>
      <w:proofErr w:type="gramStart"/>
      <w:r>
        <w:rPr>
          <w:rFonts w:ascii="楷体_GB2312" w:eastAsia="楷体_GB2312" w:hAnsi="微软雅黑" w:hint="eastAsia"/>
          <w:color w:val="575757"/>
          <w:sz w:val="32"/>
          <w:szCs w:val="32"/>
        </w:rPr>
        <w:t>发改委</w:t>
      </w:r>
      <w:proofErr w:type="gramEnd"/>
      <w:r>
        <w:rPr>
          <w:rFonts w:ascii="楷体_GB2312" w:eastAsia="楷体_GB2312" w:hAnsi="微软雅黑" w:hint="eastAsia"/>
          <w:color w:val="575757"/>
          <w:sz w:val="32"/>
          <w:szCs w:val="32"/>
        </w:rPr>
        <w:t>牵头，财政局、科技局、招商局、园区、乡镇（街道）等按职责分工负责）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10</w:t>
      </w:r>
      <w:r>
        <w:rPr>
          <w:rStyle w:val="a4"/>
          <w:rFonts w:ascii="仿宋_GB2312" w:eastAsia="仿宋_GB2312" w:hAnsi="微软雅黑" w:hint="eastAsia"/>
          <w:color w:val="575757"/>
        </w:rPr>
        <w:t>．加强行业质量、技术标准和品牌建设。</w:t>
      </w:r>
      <w:r>
        <w:rPr>
          <w:rFonts w:ascii="仿宋_GB2312" w:eastAsia="仿宋_GB2312" w:hAnsi="微软雅黑" w:hint="eastAsia"/>
          <w:color w:val="575757"/>
          <w:sz w:val="32"/>
          <w:szCs w:val="32"/>
        </w:rPr>
        <w:t>鼓励企业向获得中国工业大奖和中国质量奖、中国质量奖提名奖和全国质量奖、江苏省质量奖努力。支持行业龙头企业、科研机构主导和参与国际标准、国家标准、行业标准的制（修）订。实施商标品牌战略，推进</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三品</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（品种、品质、品牌）专项行动，深入开展灌云自主工业品牌</w:t>
      </w:r>
      <w:r>
        <w:rPr>
          <w:rFonts w:ascii="Times New Roman" w:eastAsia="微软雅黑" w:hAnsi="Times New Roman" w:cs="Times New Roman"/>
          <w:color w:val="575757"/>
          <w:sz w:val="32"/>
          <w:szCs w:val="32"/>
        </w:rPr>
        <w:t>20</w:t>
      </w:r>
      <w:proofErr w:type="gramStart"/>
      <w:r>
        <w:rPr>
          <w:rFonts w:ascii="仿宋_GB2312" w:eastAsia="仿宋_GB2312" w:hAnsi="微软雅黑" w:hint="eastAsia"/>
          <w:color w:val="575757"/>
          <w:sz w:val="32"/>
          <w:szCs w:val="32"/>
        </w:rPr>
        <w:t>强宣传</w:t>
      </w:r>
      <w:proofErr w:type="gramEnd"/>
      <w:r>
        <w:rPr>
          <w:rFonts w:ascii="仿宋_GB2312" w:eastAsia="仿宋_GB2312" w:hAnsi="微软雅黑" w:hint="eastAsia"/>
          <w:color w:val="575757"/>
          <w:sz w:val="32"/>
          <w:szCs w:val="32"/>
        </w:rPr>
        <w:t>推介活动。支持企业积极开展商标注册和专利申请。加大产业集聚区区域品牌培育力度，鼓励申报品牌培育示范企业、产业集群区域品牌建设示范区、知名品牌示范区</w:t>
      </w:r>
      <w:r>
        <w:rPr>
          <w:rFonts w:ascii="楷体_GB2312" w:eastAsia="楷体_GB2312" w:hAnsi="微软雅黑" w:hint="eastAsia"/>
          <w:color w:val="575757"/>
          <w:sz w:val="32"/>
          <w:szCs w:val="32"/>
        </w:rPr>
        <w:t>。（市场监管局牵</w:t>
      </w:r>
      <w:r>
        <w:rPr>
          <w:rFonts w:ascii="楷体_GB2312" w:eastAsia="楷体_GB2312" w:hAnsi="微软雅黑" w:hint="eastAsia"/>
          <w:color w:val="575757"/>
          <w:sz w:val="32"/>
          <w:szCs w:val="32"/>
        </w:rPr>
        <w:lastRenderedPageBreak/>
        <w:t>头，经信局，财政局、园区、乡镇（街道）等按职责分工负责）</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（四）优化要素资源配置</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11</w:t>
      </w:r>
      <w:r>
        <w:rPr>
          <w:rStyle w:val="a4"/>
          <w:rFonts w:ascii="仿宋_GB2312" w:eastAsia="仿宋_GB2312" w:hAnsi="微软雅黑" w:hint="eastAsia"/>
          <w:color w:val="575757"/>
        </w:rPr>
        <w:t>．促进工业高效用地。</w:t>
      </w:r>
      <w:r>
        <w:rPr>
          <w:rFonts w:ascii="仿宋_GB2312" w:eastAsia="仿宋_GB2312" w:hAnsi="微软雅黑" w:hint="eastAsia"/>
          <w:color w:val="575757"/>
          <w:sz w:val="32"/>
          <w:szCs w:val="32"/>
        </w:rPr>
        <w:t>灵活选择长期租赁、租让结合、先租后让和弹性出让等方式供应工业用地。对中小</w:t>
      </w:r>
      <w:proofErr w:type="gramStart"/>
      <w:r>
        <w:rPr>
          <w:rFonts w:ascii="仿宋_GB2312" w:eastAsia="仿宋_GB2312" w:hAnsi="微软雅黑" w:hint="eastAsia"/>
          <w:color w:val="575757"/>
          <w:sz w:val="32"/>
          <w:szCs w:val="32"/>
        </w:rPr>
        <w:t>微企业</w:t>
      </w:r>
      <w:proofErr w:type="gramEnd"/>
      <w:r>
        <w:rPr>
          <w:rFonts w:ascii="仿宋_GB2312" w:eastAsia="仿宋_GB2312" w:hAnsi="微软雅黑" w:hint="eastAsia"/>
          <w:color w:val="575757"/>
          <w:sz w:val="32"/>
          <w:szCs w:val="32"/>
        </w:rPr>
        <w:t>高标准厂房租赁费用给予奖补，一事一议。在符合相关规划的前提下，经县政府批准，利用现有房屋和土地兴办</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互联网</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制造业</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等新业态的，可实行继续按原用途和土地权利类型使用土地的过渡期政策，过渡期为</w:t>
      </w:r>
      <w:r>
        <w:rPr>
          <w:rFonts w:ascii="Times New Roman" w:eastAsia="微软雅黑" w:hAnsi="Times New Roman" w:cs="Times New Roman"/>
          <w:color w:val="575757"/>
          <w:sz w:val="32"/>
          <w:szCs w:val="32"/>
        </w:rPr>
        <w:t>5</w:t>
      </w:r>
      <w:r>
        <w:rPr>
          <w:rFonts w:ascii="仿宋_GB2312" w:eastAsia="仿宋_GB2312" w:hAnsi="微软雅黑" w:hint="eastAsia"/>
          <w:color w:val="575757"/>
          <w:sz w:val="32"/>
          <w:szCs w:val="32"/>
        </w:rPr>
        <w:t>年。过渡期满后需按新用途办理用地手续，符合划拨用地目录的，可以划拨方式供地。鼓励对现有工业用地追加投资、转型改造，合理利用地上地下空间。对符合规划、不改变用途的现有工业用地，鼓励通过厂房加层、老厂改造、内部整理等途径提高土地利用率和增加容积率，不再增收土地价款。对列入省重大项目的先进制造业项目建设用地给予倾斜支持。</w:t>
      </w:r>
      <w:r>
        <w:rPr>
          <w:rFonts w:ascii="楷体_GB2312" w:eastAsia="楷体_GB2312" w:hAnsi="微软雅黑" w:hint="eastAsia"/>
          <w:color w:val="575757"/>
          <w:sz w:val="32"/>
          <w:szCs w:val="32"/>
        </w:rPr>
        <w:t>（国土局、</w:t>
      </w:r>
      <w:proofErr w:type="gramStart"/>
      <w:r>
        <w:rPr>
          <w:rFonts w:ascii="楷体_GB2312" w:eastAsia="楷体_GB2312" w:hAnsi="微软雅黑" w:hint="eastAsia"/>
          <w:color w:val="575757"/>
          <w:sz w:val="32"/>
          <w:szCs w:val="32"/>
        </w:rPr>
        <w:t>发改委</w:t>
      </w:r>
      <w:proofErr w:type="gramEnd"/>
      <w:r>
        <w:rPr>
          <w:rFonts w:ascii="楷体_GB2312" w:eastAsia="楷体_GB2312" w:hAnsi="微软雅黑" w:hint="eastAsia"/>
          <w:color w:val="575757"/>
          <w:sz w:val="32"/>
          <w:szCs w:val="32"/>
        </w:rPr>
        <w:t>、经信局、园区、乡镇（街道）等按职责分工负责）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12</w:t>
      </w:r>
      <w:r>
        <w:rPr>
          <w:rStyle w:val="a4"/>
          <w:rFonts w:ascii="仿宋_GB2312" w:eastAsia="仿宋_GB2312" w:hAnsi="微软雅黑" w:hint="eastAsia"/>
          <w:color w:val="575757"/>
        </w:rPr>
        <w:t>．加大财税支持力度。</w:t>
      </w:r>
      <w:r>
        <w:rPr>
          <w:rFonts w:ascii="Times New Roman" w:eastAsia="微软雅黑" w:hAnsi="Times New Roman" w:cs="Times New Roman"/>
          <w:color w:val="575757"/>
          <w:sz w:val="32"/>
          <w:szCs w:val="32"/>
        </w:rPr>
        <w:t>2017</w:t>
      </w:r>
      <w:r>
        <w:rPr>
          <w:rFonts w:ascii="仿宋_GB2312" w:eastAsia="仿宋_GB2312" w:hAnsi="微软雅黑" w:hint="eastAsia"/>
          <w:color w:val="575757"/>
          <w:sz w:val="32"/>
          <w:szCs w:val="32"/>
        </w:rPr>
        <w:t>年开始，县政府连续</w:t>
      </w:r>
      <w:r>
        <w:rPr>
          <w:rFonts w:ascii="Times New Roman" w:eastAsia="微软雅黑" w:hAnsi="Times New Roman" w:cs="Times New Roman"/>
          <w:color w:val="575757"/>
          <w:sz w:val="32"/>
          <w:szCs w:val="32"/>
        </w:rPr>
        <w:t>4</w:t>
      </w:r>
      <w:r>
        <w:rPr>
          <w:rFonts w:ascii="仿宋_GB2312" w:eastAsia="仿宋_GB2312" w:hAnsi="微软雅黑" w:hint="eastAsia"/>
          <w:color w:val="575757"/>
          <w:sz w:val="32"/>
          <w:szCs w:val="32"/>
        </w:rPr>
        <w:t>年每年安排资金</w:t>
      </w:r>
      <w:r>
        <w:rPr>
          <w:rFonts w:ascii="Times New Roman" w:eastAsia="微软雅黑" w:hAnsi="Times New Roman" w:cs="Times New Roman"/>
          <w:color w:val="575757"/>
          <w:sz w:val="32"/>
          <w:szCs w:val="32"/>
        </w:rPr>
        <w:t>3000</w:t>
      </w:r>
      <w:r>
        <w:rPr>
          <w:rFonts w:ascii="仿宋_GB2312" w:eastAsia="仿宋_GB2312" w:hAnsi="微软雅黑" w:hint="eastAsia"/>
          <w:color w:val="575757"/>
          <w:sz w:val="32"/>
          <w:szCs w:val="32"/>
        </w:rPr>
        <w:t>万元：其中</w:t>
      </w:r>
      <w:r>
        <w:rPr>
          <w:rFonts w:ascii="Times New Roman" w:eastAsia="微软雅黑" w:hAnsi="Times New Roman" w:cs="Times New Roman"/>
          <w:color w:val="575757"/>
          <w:sz w:val="32"/>
          <w:szCs w:val="32"/>
        </w:rPr>
        <w:t>2000</w:t>
      </w:r>
      <w:r>
        <w:rPr>
          <w:rFonts w:ascii="仿宋_GB2312" w:eastAsia="仿宋_GB2312" w:hAnsi="微软雅黑" w:hint="eastAsia"/>
          <w:color w:val="575757"/>
          <w:sz w:val="32"/>
          <w:szCs w:val="32"/>
        </w:rPr>
        <w:t>万元</w:t>
      </w:r>
      <w:proofErr w:type="gramStart"/>
      <w:r>
        <w:rPr>
          <w:rFonts w:ascii="仿宋_GB2312" w:eastAsia="仿宋_GB2312" w:hAnsi="微软雅黑" w:hint="eastAsia"/>
          <w:color w:val="575757"/>
          <w:sz w:val="32"/>
          <w:szCs w:val="32"/>
        </w:rPr>
        <w:t>资金奖补具体</w:t>
      </w:r>
      <w:proofErr w:type="gramEnd"/>
      <w:r>
        <w:rPr>
          <w:rFonts w:ascii="仿宋_GB2312" w:eastAsia="仿宋_GB2312" w:hAnsi="微软雅黑" w:hint="eastAsia"/>
          <w:color w:val="575757"/>
          <w:sz w:val="32"/>
          <w:szCs w:val="32"/>
        </w:rPr>
        <w:t>项目，</w:t>
      </w:r>
      <w:r>
        <w:rPr>
          <w:rFonts w:ascii="Times New Roman" w:eastAsia="微软雅黑" w:hAnsi="Times New Roman" w:cs="Times New Roman"/>
          <w:color w:val="575757"/>
          <w:sz w:val="32"/>
          <w:szCs w:val="32"/>
        </w:rPr>
        <w:t>1000</w:t>
      </w:r>
      <w:r>
        <w:rPr>
          <w:rFonts w:ascii="仿宋_GB2312" w:eastAsia="仿宋_GB2312" w:hAnsi="微软雅黑" w:hint="eastAsia"/>
          <w:color w:val="575757"/>
          <w:sz w:val="32"/>
          <w:szCs w:val="32"/>
        </w:rPr>
        <w:t>万元作为政府引导基金投入。充分发挥财政资金的导向和杠杆作用，重点支持企业</w:t>
      </w:r>
      <w:proofErr w:type="gramStart"/>
      <w:r>
        <w:rPr>
          <w:rFonts w:ascii="仿宋_GB2312" w:eastAsia="仿宋_GB2312" w:hAnsi="微软雅黑" w:hint="eastAsia"/>
          <w:color w:val="575757"/>
          <w:sz w:val="32"/>
          <w:szCs w:val="32"/>
        </w:rPr>
        <w:t>做优做</w:t>
      </w:r>
      <w:proofErr w:type="gramEnd"/>
      <w:r>
        <w:rPr>
          <w:rFonts w:ascii="仿宋_GB2312" w:eastAsia="仿宋_GB2312" w:hAnsi="微软雅黑" w:hint="eastAsia"/>
          <w:color w:val="575757"/>
          <w:sz w:val="32"/>
          <w:szCs w:val="32"/>
        </w:rPr>
        <w:t>强、企业提档升级、企业科技创新、</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互联网</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发展、服务业发展、绿色集约发</w:t>
      </w:r>
      <w:r>
        <w:rPr>
          <w:rFonts w:ascii="仿宋_GB2312" w:eastAsia="仿宋_GB2312" w:hAnsi="微软雅黑" w:hint="eastAsia"/>
          <w:color w:val="575757"/>
          <w:sz w:val="32"/>
          <w:szCs w:val="32"/>
        </w:rPr>
        <w:lastRenderedPageBreak/>
        <w:t>展、打造企业发展环境（具体细则见附件</w:t>
      </w:r>
      <w:r>
        <w:rPr>
          <w:rFonts w:ascii="Times New Roman" w:eastAsia="微软雅黑" w:hAnsi="Times New Roman" w:cs="Times New Roman"/>
          <w:color w:val="575757"/>
          <w:sz w:val="32"/>
          <w:szCs w:val="32"/>
        </w:rPr>
        <w:t>1</w:t>
      </w:r>
      <w:r>
        <w:rPr>
          <w:rFonts w:ascii="仿宋_GB2312" w:eastAsia="仿宋_GB2312" w:hAnsi="微软雅黑" w:hint="eastAsia"/>
          <w:color w:val="575757"/>
          <w:sz w:val="32"/>
          <w:szCs w:val="32"/>
        </w:rPr>
        <w:t>）。落实好国家研发费用加计扣除、增值税抵扣和高新技术企业、资源综合利用、小</w:t>
      </w:r>
      <w:proofErr w:type="gramStart"/>
      <w:r>
        <w:rPr>
          <w:rFonts w:ascii="仿宋_GB2312" w:eastAsia="仿宋_GB2312" w:hAnsi="微软雅黑" w:hint="eastAsia"/>
          <w:color w:val="575757"/>
          <w:sz w:val="32"/>
          <w:szCs w:val="32"/>
        </w:rPr>
        <w:t>微企业</w:t>
      </w:r>
      <w:proofErr w:type="gramEnd"/>
      <w:r>
        <w:rPr>
          <w:rFonts w:ascii="仿宋_GB2312" w:eastAsia="仿宋_GB2312" w:hAnsi="微软雅黑" w:hint="eastAsia"/>
          <w:color w:val="575757"/>
          <w:sz w:val="32"/>
          <w:szCs w:val="32"/>
        </w:rPr>
        <w:t>等相关税收优惠支持政策。</w:t>
      </w:r>
      <w:r>
        <w:rPr>
          <w:rFonts w:ascii="楷体_GB2312" w:eastAsia="楷体_GB2312" w:hAnsi="微软雅黑" w:hint="eastAsia"/>
          <w:color w:val="575757"/>
          <w:sz w:val="32"/>
          <w:szCs w:val="32"/>
        </w:rPr>
        <w:t>（财政局、</w:t>
      </w:r>
      <w:proofErr w:type="gramStart"/>
      <w:r>
        <w:rPr>
          <w:rFonts w:ascii="楷体_GB2312" w:eastAsia="楷体_GB2312" w:hAnsi="微软雅黑" w:hint="eastAsia"/>
          <w:color w:val="575757"/>
          <w:sz w:val="32"/>
          <w:szCs w:val="32"/>
        </w:rPr>
        <w:t>发改委</w:t>
      </w:r>
      <w:proofErr w:type="gramEnd"/>
      <w:r>
        <w:rPr>
          <w:rFonts w:ascii="楷体_GB2312" w:eastAsia="楷体_GB2312" w:hAnsi="微软雅黑" w:hint="eastAsia"/>
          <w:color w:val="575757"/>
          <w:sz w:val="32"/>
          <w:szCs w:val="32"/>
        </w:rPr>
        <w:t>、经信局、国税局、地税局、科技局、园区、乡镇（街道）等按职责分工负责）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13</w:t>
      </w:r>
      <w:r>
        <w:rPr>
          <w:rStyle w:val="a4"/>
          <w:rFonts w:ascii="仿宋_GB2312" w:eastAsia="仿宋_GB2312" w:hAnsi="微软雅黑" w:hint="eastAsia"/>
          <w:color w:val="575757"/>
        </w:rPr>
        <w:t>．大力推动产融互动。</w:t>
      </w:r>
      <w:r>
        <w:rPr>
          <w:rFonts w:ascii="仿宋_GB2312" w:eastAsia="仿宋_GB2312" w:hAnsi="微软雅黑" w:hint="eastAsia"/>
          <w:color w:val="575757"/>
          <w:sz w:val="32"/>
          <w:szCs w:val="32"/>
        </w:rPr>
        <w:t>鼓励为中小企业提供担保服务。给予符合条件的担保公司、小贷公司存量在保余额</w:t>
      </w:r>
      <w:r>
        <w:rPr>
          <w:rFonts w:ascii="Times New Roman" w:eastAsia="微软雅黑" w:hAnsi="Times New Roman" w:cs="Times New Roman"/>
          <w:color w:val="575757"/>
          <w:sz w:val="32"/>
          <w:szCs w:val="32"/>
        </w:rPr>
        <w:t>0.5‰</w:t>
      </w:r>
      <w:r>
        <w:rPr>
          <w:rFonts w:ascii="仿宋_GB2312" w:eastAsia="仿宋_GB2312" w:hAnsi="微软雅黑" w:hint="eastAsia"/>
          <w:color w:val="575757"/>
          <w:sz w:val="32"/>
          <w:szCs w:val="32"/>
        </w:rPr>
        <w:t>、增量担保余额</w:t>
      </w:r>
      <w:r>
        <w:rPr>
          <w:rFonts w:ascii="Times New Roman" w:eastAsia="微软雅黑" w:hAnsi="Times New Roman" w:cs="Times New Roman"/>
          <w:color w:val="575757"/>
          <w:sz w:val="32"/>
          <w:szCs w:val="32"/>
        </w:rPr>
        <w:t>2‰</w:t>
      </w:r>
      <w:r>
        <w:rPr>
          <w:rFonts w:ascii="仿宋_GB2312" w:eastAsia="仿宋_GB2312" w:hAnsi="微软雅黑" w:hint="eastAsia"/>
          <w:color w:val="575757"/>
          <w:sz w:val="32"/>
          <w:szCs w:val="32"/>
        </w:rPr>
        <w:t>的奖励。切实做好企业财务风险控制。对主动承接或代偿银行、小贷公司贷款</w:t>
      </w:r>
      <w:r>
        <w:rPr>
          <w:rFonts w:ascii="Times New Roman" w:eastAsia="微软雅黑" w:hAnsi="Times New Roman" w:cs="Times New Roman"/>
          <w:color w:val="575757"/>
          <w:sz w:val="32"/>
          <w:szCs w:val="32"/>
        </w:rPr>
        <w:t>500</w:t>
      </w:r>
      <w:r>
        <w:rPr>
          <w:rFonts w:ascii="仿宋_GB2312" w:eastAsia="仿宋_GB2312" w:hAnsi="微软雅黑" w:hint="eastAsia"/>
          <w:color w:val="575757"/>
          <w:sz w:val="32"/>
          <w:szCs w:val="32"/>
        </w:rPr>
        <w:t>万元以上的企业（包括担保公司、小贷公司），给予</w:t>
      </w:r>
      <w:r>
        <w:rPr>
          <w:rFonts w:ascii="Times New Roman" w:eastAsia="微软雅黑" w:hAnsi="Times New Roman" w:cs="Times New Roman"/>
          <w:color w:val="575757"/>
          <w:sz w:val="32"/>
          <w:szCs w:val="32"/>
        </w:rPr>
        <w:t>2%</w:t>
      </w:r>
      <w:r>
        <w:rPr>
          <w:rFonts w:ascii="仿宋_GB2312" w:eastAsia="仿宋_GB2312" w:hAnsi="微软雅黑" w:hint="eastAsia"/>
          <w:color w:val="575757"/>
          <w:sz w:val="32"/>
          <w:szCs w:val="32"/>
        </w:rPr>
        <w:t>的一次性利息补贴。发挥县中小企业转贷资金作用。设立中小</w:t>
      </w:r>
      <w:proofErr w:type="gramStart"/>
      <w:r>
        <w:rPr>
          <w:rFonts w:ascii="仿宋_GB2312" w:eastAsia="仿宋_GB2312" w:hAnsi="微软雅黑" w:hint="eastAsia"/>
          <w:color w:val="575757"/>
          <w:sz w:val="32"/>
          <w:szCs w:val="32"/>
        </w:rPr>
        <w:t>微企业</w:t>
      </w:r>
      <w:proofErr w:type="gramEnd"/>
      <w:r>
        <w:rPr>
          <w:rFonts w:ascii="仿宋_GB2312" w:eastAsia="仿宋_GB2312" w:hAnsi="微软雅黑" w:hint="eastAsia"/>
          <w:color w:val="575757"/>
          <w:sz w:val="32"/>
          <w:szCs w:val="32"/>
        </w:rPr>
        <w:t>信用保证基金，缓解全县中小</w:t>
      </w:r>
      <w:proofErr w:type="gramStart"/>
      <w:r>
        <w:rPr>
          <w:rFonts w:ascii="仿宋_GB2312" w:eastAsia="仿宋_GB2312" w:hAnsi="微软雅黑" w:hint="eastAsia"/>
          <w:color w:val="575757"/>
          <w:sz w:val="32"/>
          <w:szCs w:val="32"/>
        </w:rPr>
        <w:t>微企业</w:t>
      </w:r>
      <w:proofErr w:type="gramEnd"/>
      <w:r>
        <w:rPr>
          <w:rFonts w:ascii="仿宋_GB2312" w:eastAsia="仿宋_GB2312" w:hAnsi="微软雅黑" w:hint="eastAsia"/>
          <w:color w:val="575757"/>
          <w:sz w:val="32"/>
          <w:szCs w:val="32"/>
        </w:rPr>
        <w:t>融资难融资贵等问题。设立产业引导股权投资母基金。引导社会资本、金融资本加大对全县制造业的投资力度，按照</w:t>
      </w:r>
      <w:r>
        <w:rPr>
          <w:rFonts w:ascii="Times New Roman" w:eastAsia="微软雅黑" w:hAnsi="Times New Roman" w:cs="Times New Roman"/>
          <w:color w:val="575757"/>
          <w:sz w:val="32"/>
          <w:szCs w:val="32"/>
        </w:rPr>
        <w:t>“1+N”</w:t>
      </w:r>
      <w:r>
        <w:rPr>
          <w:rFonts w:ascii="仿宋_GB2312" w:eastAsia="仿宋_GB2312" w:hAnsi="微软雅黑" w:hint="eastAsia"/>
          <w:color w:val="575757"/>
          <w:sz w:val="32"/>
          <w:szCs w:val="32"/>
        </w:rPr>
        <w:t>的模式，与金融资本、社会资本合作设立灌云县工业发展基金，激发市场主体与社会力量的创新创业活力。</w:t>
      </w:r>
      <w:r>
        <w:rPr>
          <w:rFonts w:ascii="楷体_GB2312" w:eastAsia="楷体_GB2312" w:hAnsi="微软雅黑" w:hint="eastAsia"/>
          <w:color w:val="575757"/>
          <w:sz w:val="32"/>
          <w:szCs w:val="32"/>
        </w:rPr>
        <w:t>（经信局、财政局、金融办、</w:t>
      </w:r>
      <w:proofErr w:type="gramStart"/>
      <w:r>
        <w:rPr>
          <w:rFonts w:ascii="楷体_GB2312" w:eastAsia="楷体_GB2312" w:hAnsi="微软雅黑" w:hint="eastAsia"/>
          <w:color w:val="575757"/>
          <w:sz w:val="32"/>
          <w:szCs w:val="32"/>
        </w:rPr>
        <w:t>发改委</w:t>
      </w:r>
      <w:proofErr w:type="gramEnd"/>
      <w:r>
        <w:rPr>
          <w:rFonts w:ascii="楷体_GB2312" w:eastAsia="楷体_GB2312" w:hAnsi="微软雅黑" w:hint="eastAsia"/>
          <w:color w:val="575757"/>
          <w:sz w:val="32"/>
          <w:szCs w:val="32"/>
        </w:rPr>
        <w:t>、科技局、人民银行等按职责分工负责）</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14</w:t>
      </w:r>
      <w:r>
        <w:rPr>
          <w:rStyle w:val="a4"/>
          <w:rFonts w:ascii="仿宋_GB2312" w:eastAsia="仿宋_GB2312" w:hAnsi="微软雅黑" w:hint="eastAsia"/>
          <w:color w:val="575757"/>
        </w:rPr>
        <w:t>．培育产业急需紧缺人才。</w:t>
      </w:r>
      <w:r>
        <w:rPr>
          <w:rFonts w:ascii="仿宋_GB2312" w:eastAsia="仿宋_GB2312" w:hAnsi="微软雅黑" w:hint="eastAsia"/>
          <w:color w:val="575757"/>
          <w:sz w:val="32"/>
          <w:szCs w:val="32"/>
        </w:rPr>
        <w:t>实施县级制造业领军人才集聚计划。实施科技企业家培育、职业经理人培养、经营管理人才素质提升、专业技术人才知识更新培训专项工程。吸引一批科学家、科技领军人才、能够突破关键技术的项目负责人和创新团队来灌云创新创业。对引进的高层次人才，</w:t>
      </w:r>
      <w:r>
        <w:rPr>
          <w:rFonts w:ascii="仿宋_GB2312" w:eastAsia="仿宋_GB2312" w:hAnsi="微软雅黑" w:hint="eastAsia"/>
          <w:color w:val="575757"/>
          <w:sz w:val="32"/>
          <w:szCs w:val="32"/>
        </w:rPr>
        <w:lastRenderedPageBreak/>
        <w:t>给予股权激励和项目资金等优惠支持，提供优质高效的生活服务，</w:t>
      </w:r>
      <w:proofErr w:type="gramStart"/>
      <w:r>
        <w:rPr>
          <w:rFonts w:ascii="仿宋_GB2312" w:eastAsia="仿宋_GB2312" w:hAnsi="微软雅黑" w:hint="eastAsia"/>
          <w:color w:val="575757"/>
          <w:sz w:val="32"/>
          <w:szCs w:val="32"/>
        </w:rPr>
        <w:t>妥善帮助</w:t>
      </w:r>
      <w:proofErr w:type="gramEnd"/>
      <w:r>
        <w:rPr>
          <w:rFonts w:ascii="仿宋_GB2312" w:eastAsia="仿宋_GB2312" w:hAnsi="微软雅黑" w:hint="eastAsia"/>
          <w:color w:val="575757"/>
          <w:sz w:val="32"/>
          <w:szCs w:val="32"/>
        </w:rPr>
        <w:t>解决住房、医疗、子女教育等方面的问题。探索</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人才</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技术</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项目</w:t>
      </w:r>
      <w:r>
        <w:rPr>
          <w:rFonts w:ascii="Times New Roman" w:eastAsia="微软雅黑" w:hAnsi="Times New Roman" w:cs="Times New Roman"/>
          <w:color w:val="575757"/>
          <w:sz w:val="32"/>
          <w:szCs w:val="32"/>
        </w:rPr>
        <w:t>”</w:t>
      </w:r>
      <w:r>
        <w:rPr>
          <w:rFonts w:ascii="仿宋_GB2312" w:eastAsia="仿宋_GB2312" w:hAnsi="微软雅黑" w:hint="eastAsia"/>
          <w:color w:val="575757"/>
          <w:sz w:val="32"/>
          <w:szCs w:val="32"/>
        </w:rPr>
        <w:t>战略合作新模式。实施产业技能大师培育计划，培养造就制造业技能大军。</w:t>
      </w:r>
      <w:r>
        <w:rPr>
          <w:rFonts w:ascii="楷体_GB2312" w:eastAsia="楷体_GB2312" w:hAnsi="微软雅黑" w:hint="eastAsia"/>
          <w:color w:val="575757"/>
          <w:sz w:val="32"/>
          <w:szCs w:val="32"/>
        </w:rPr>
        <w:t>（组织部、</w:t>
      </w:r>
      <w:proofErr w:type="gramStart"/>
      <w:r>
        <w:rPr>
          <w:rFonts w:ascii="楷体_GB2312" w:eastAsia="楷体_GB2312" w:hAnsi="微软雅黑" w:hint="eastAsia"/>
          <w:color w:val="575757"/>
          <w:sz w:val="32"/>
          <w:szCs w:val="32"/>
        </w:rPr>
        <w:t>人社局</w:t>
      </w:r>
      <w:proofErr w:type="gramEnd"/>
      <w:r>
        <w:rPr>
          <w:rFonts w:ascii="楷体_GB2312" w:eastAsia="楷体_GB2312" w:hAnsi="微软雅黑" w:hint="eastAsia"/>
          <w:color w:val="575757"/>
          <w:sz w:val="32"/>
          <w:szCs w:val="32"/>
        </w:rPr>
        <w:t>、经信局牵头，</w:t>
      </w:r>
      <w:proofErr w:type="gramStart"/>
      <w:r>
        <w:rPr>
          <w:rFonts w:ascii="楷体_GB2312" w:eastAsia="楷体_GB2312" w:hAnsi="微软雅黑" w:hint="eastAsia"/>
          <w:color w:val="575757"/>
          <w:sz w:val="32"/>
          <w:szCs w:val="32"/>
        </w:rPr>
        <w:t>发改委</w:t>
      </w:r>
      <w:proofErr w:type="gramEnd"/>
      <w:r>
        <w:rPr>
          <w:rFonts w:ascii="楷体_GB2312" w:eastAsia="楷体_GB2312" w:hAnsi="微软雅黑" w:hint="eastAsia"/>
          <w:color w:val="575757"/>
          <w:sz w:val="32"/>
          <w:szCs w:val="32"/>
        </w:rPr>
        <w:t>、财政局、科技局、园区、乡镇（街道）等按职责分工负责）</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（五）提升行政服务效能</w:t>
      </w:r>
    </w:p>
    <w:p w:rsidR="00DF4570" w:rsidRDefault="00DF4570" w:rsidP="00DF4570">
      <w:pPr>
        <w:pStyle w:val="a3"/>
        <w:spacing w:before="0" w:beforeAutospacing="0" w:after="0" w:afterAutospacing="0" w:line="52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15</w:t>
      </w:r>
      <w:r>
        <w:rPr>
          <w:rStyle w:val="a4"/>
          <w:rFonts w:ascii="仿宋_GB2312" w:eastAsia="仿宋_GB2312" w:hAnsi="微软雅黑" w:hint="eastAsia"/>
          <w:color w:val="575757"/>
        </w:rPr>
        <w:t>．建立企业综合评价制度。</w:t>
      </w:r>
      <w:r>
        <w:rPr>
          <w:rFonts w:ascii="仿宋_GB2312" w:eastAsia="仿宋_GB2312" w:hAnsi="微软雅黑" w:hint="eastAsia"/>
          <w:color w:val="575757"/>
          <w:sz w:val="32"/>
          <w:szCs w:val="32"/>
        </w:rPr>
        <w:t>开展企业综合评价加快工业转型升级试点，以单位用地税收、单位用地产出、单位能耗产出、单位排放产出等为主要评价内容，建立分类分档、公开排序、动态管理的企业综合评价制度，以评价结果为主要依据，实施用能、用电、用地、用水、排污权等资源要素差别化价格政策，推动资源要素向高效益、高产出、高技术、高成长性企业集聚，倒</w:t>
      </w:r>
      <w:proofErr w:type="gramStart"/>
      <w:r>
        <w:rPr>
          <w:rFonts w:ascii="仿宋_GB2312" w:eastAsia="仿宋_GB2312" w:hAnsi="微软雅黑" w:hint="eastAsia"/>
          <w:color w:val="575757"/>
          <w:sz w:val="32"/>
          <w:szCs w:val="32"/>
        </w:rPr>
        <w:t>逼落后</w:t>
      </w:r>
      <w:proofErr w:type="gramEnd"/>
      <w:r>
        <w:rPr>
          <w:rFonts w:ascii="仿宋_GB2312" w:eastAsia="仿宋_GB2312" w:hAnsi="微软雅黑" w:hint="eastAsia"/>
          <w:color w:val="575757"/>
          <w:sz w:val="32"/>
          <w:szCs w:val="32"/>
        </w:rPr>
        <w:t>和严重过剩产能退出、低效企业转型。</w:t>
      </w:r>
      <w:r>
        <w:rPr>
          <w:rFonts w:ascii="楷体_GB2312" w:eastAsia="楷体_GB2312" w:hAnsi="微软雅黑" w:hint="eastAsia"/>
          <w:color w:val="575757"/>
          <w:sz w:val="32"/>
          <w:szCs w:val="32"/>
        </w:rPr>
        <w:t>（经信局牵头，</w:t>
      </w:r>
      <w:proofErr w:type="gramStart"/>
      <w:r>
        <w:rPr>
          <w:rFonts w:ascii="楷体_GB2312" w:eastAsia="楷体_GB2312" w:hAnsi="微软雅黑" w:hint="eastAsia"/>
          <w:color w:val="575757"/>
          <w:sz w:val="32"/>
          <w:szCs w:val="32"/>
        </w:rPr>
        <w:t>发改委</w:t>
      </w:r>
      <w:proofErr w:type="gramEnd"/>
      <w:r>
        <w:rPr>
          <w:rFonts w:ascii="楷体_GB2312" w:eastAsia="楷体_GB2312" w:hAnsi="微软雅黑" w:hint="eastAsia"/>
          <w:color w:val="575757"/>
          <w:sz w:val="32"/>
          <w:szCs w:val="32"/>
        </w:rPr>
        <w:t>、财政局、国税局、地税局、国土局、环保局、供电公司、自来水公司、燃气公司、园区、乡镇（街道）等按职责分工负责）</w:t>
      </w:r>
    </w:p>
    <w:p w:rsidR="00DF4570" w:rsidRDefault="00DF4570" w:rsidP="00DF4570">
      <w:pPr>
        <w:pStyle w:val="a3"/>
        <w:spacing w:before="0" w:beforeAutospacing="0" w:after="0" w:afterAutospacing="0" w:line="54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16</w:t>
      </w:r>
      <w:r>
        <w:rPr>
          <w:rStyle w:val="a4"/>
          <w:rFonts w:ascii="仿宋_GB2312" w:eastAsia="仿宋_GB2312" w:hAnsi="微软雅黑" w:hint="eastAsia"/>
          <w:color w:val="575757"/>
        </w:rPr>
        <w:t>．加强市场诚信体系建设。</w:t>
      </w:r>
      <w:r>
        <w:rPr>
          <w:rFonts w:ascii="仿宋_GB2312" w:eastAsia="仿宋_GB2312" w:hAnsi="微软雅黑" w:hint="eastAsia"/>
          <w:color w:val="575757"/>
          <w:sz w:val="32"/>
          <w:szCs w:val="32"/>
        </w:rPr>
        <w:t>建立以信用为基础的综合监管执法体系，打击侵犯知识产权、假冒伪劣和违法生产行为。加强企业法治、信用与社会责任建设，对信用度高的企业减少相关抽查频次，每年评选一批依法管理、诚信经营、履行社会责任的先进企业和优秀企业家，对先进企业在工</w:t>
      </w:r>
      <w:r>
        <w:rPr>
          <w:rFonts w:ascii="仿宋_GB2312" w:eastAsia="仿宋_GB2312" w:hAnsi="微软雅黑" w:hint="eastAsia"/>
          <w:color w:val="575757"/>
          <w:sz w:val="32"/>
          <w:szCs w:val="32"/>
        </w:rPr>
        <w:lastRenderedPageBreak/>
        <w:t>程招投标、重点项目、融资服务等方面给予加分和倾斜支持。强化诚信政府建设。</w:t>
      </w:r>
      <w:r>
        <w:rPr>
          <w:rFonts w:ascii="楷体_GB2312" w:eastAsia="楷体_GB2312" w:hAnsi="微软雅黑" w:hint="eastAsia"/>
          <w:color w:val="575757"/>
          <w:sz w:val="32"/>
          <w:szCs w:val="32"/>
        </w:rPr>
        <w:t>（信用办牵头，信用体系建设领导小组成员单位、园区、乡镇（街道）等按职责分工负责）</w:t>
      </w:r>
    </w:p>
    <w:p w:rsidR="00DF4570" w:rsidRDefault="00DF4570" w:rsidP="00DF4570">
      <w:pPr>
        <w:pStyle w:val="a3"/>
        <w:spacing w:before="0" w:beforeAutospacing="0" w:after="0" w:afterAutospacing="0" w:line="54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17</w:t>
      </w:r>
      <w:r>
        <w:rPr>
          <w:rStyle w:val="a4"/>
          <w:rFonts w:ascii="仿宋_GB2312" w:eastAsia="仿宋_GB2312" w:hAnsi="微软雅黑" w:hint="eastAsia"/>
          <w:color w:val="575757"/>
        </w:rPr>
        <w:t>．降低企业运营成本。</w:t>
      </w:r>
      <w:r>
        <w:rPr>
          <w:rFonts w:ascii="仿宋_GB2312" w:eastAsia="仿宋_GB2312" w:hAnsi="微软雅黑" w:hint="eastAsia"/>
          <w:color w:val="575757"/>
          <w:sz w:val="32"/>
          <w:szCs w:val="32"/>
        </w:rPr>
        <w:t>贯彻落实省、市政府关于降低实体经济企业成本的文件精神，进一步降低融资成本、制度性交易成本、用电物流成本等。放宽直购电参与范围，有序缩减发用电计划，扩大市场交易电量比例。有序开</w:t>
      </w:r>
      <w:proofErr w:type="gramStart"/>
      <w:r>
        <w:rPr>
          <w:rFonts w:ascii="仿宋_GB2312" w:eastAsia="仿宋_GB2312" w:hAnsi="微软雅黑" w:hint="eastAsia"/>
          <w:color w:val="575757"/>
          <w:sz w:val="32"/>
          <w:szCs w:val="32"/>
        </w:rPr>
        <w:t>展售电侧改革</w:t>
      </w:r>
      <w:proofErr w:type="gramEnd"/>
      <w:r>
        <w:rPr>
          <w:rFonts w:ascii="仿宋_GB2312" w:eastAsia="仿宋_GB2312" w:hAnsi="微软雅黑" w:hint="eastAsia"/>
          <w:color w:val="575757"/>
          <w:sz w:val="32"/>
          <w:szCs w:val="32"/>
        </w:rPr>
        <w:t>试点，利用市场竞争降低企业用电成本。实施货运车辆通行费和船舶过闸费优惠政策，加强市场监管，降低物流成本。对企业积极参加境内外展博会的，县政府予以奖励。（</w:t>
      </w:r>
      <w:r>
        <w:rPr>
          <w:rFonts w:ascii="楷体_GB2312" w:eastAsia="楷体_GB2312" w:hAnsi="微软雅黑" w:hint="eastAsia"/>
          <w:color w:val="575757"/>
          <w:sz w:val="32"/>
          <w:szCs w:val="32"/>
        </w:rPr>
        <w:t>经信局、物价局、供电公司、交通局等部门按职责分工负责）</w:t>
      </w:r>
    </w:p>
    <w:p w:rsidR="00DF4570" w:rsidRDefault="00DF4570" w:rsidP="00DF4570">
      <w:pPr>
        <w:pStyle w:val="a3"/>
        <w:spacing w:before="0" w:beforeAutospacing="0" w:after="0" w:afterAutospacing="0" w:line="540" w:lineRule="atLeast"/>
        <w:ind w:firstLine="643"/>
        <w:rPr>
          <w:rFonts w:ascii="微软雅黑" w:eastAsia="微软雅黑" w:hAnsi="微软雅黑" w:hint="eastAsia"/>
          <w:color w:val="575757"/>
        </w:rPr>
      </w:pPr>
      <w:r>
        <w:rPr>
          <w:rStyle w:val="a4"/>
          <w:rFonts w:ascii="Times New Roman" w:eastAsia="微软雅黑" w:hAnsi="Times New Roman" w:cs="Times New Roman"/>
          <w:color w:val="575757"/>
        </w:rPr>
        <w:t>18</w:t>
      </w:r>
      <w:r>
        <w:rPr>
          <w:rStyle w:val="a4"/>
          <w:rFonts w:ascii="仿宋_GB2312" w:eastAsia="仿宋_GB2312" w:hAnsi="微软雅黑" w:hint="eastAsia"/>
          <w:color w:val="575757"/>
        </w:rPr>
        <w:t>．大力弘扬灌云制造文化。</w:t>
      </w:r>
      <w:r>
        <w:rPr>
          <w:rFonts w:ascii="仿宋_GB2312" w:eastAsia="仿宋_GB2312" w:hAnsi="微软雅黑" w:hint="eastAsia"/>
          <w:color w:val="575757"/>
          <w:sz w:val="32"/>
          <w:szCs w:val="32"/>
        </w:rPr>
        <w:t>发挥各类媒体作用，大力弘扬灌云制造文化和企业家精神、工匠精神、创新精神、诚信精神，在全社会形成实体经济发展的良好氛围。每年评选一批对灌云制造有突出贡献的先进企业和个人、服务先进制造业发展成效明显的部门和单位。</w:t>
      </w:r>
      <w:r>
        <w:rPr>
          <w:rFonts w:ascii="楷体_GB2312" w:eastAsia="楷体_GB2312" w:hAnsi="微软雅黑" w:hint="eastAsia"/>
          <w:color w:val="575757"/>
          <w:sz w:val="32"/>
          <w:szCs w:val="32"/>
        </w:rPr>
        <w:t>（宣传部、经信局牵头，财政局、文化广电体育局、园区、乡镇（街道）等部门按职责分工负责）</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黑体" w:eastAsia="黑体" w:hAnsi="黑体" w:hint="eastAsia"/>
          <w:color w:val="575757"/>
          <w:sz w:val="32"/>
          <w:szCs w:val="32"/>
        </w:rPr>
        <w:t>四、保障机制</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lastRenderedPageBreak/>
        <w:t>（一）强化组织领导。</w:t>
      </w:r>
      <w:r>
        <w:rPr>
          <w:rFonts w:ascii="仿宋_GB2312" w:eastAsia="仿宋_GB2312" w:hAnsi="微软雅黑" w:hint="eastAsia"/>
          <w:color w:val="575757"/>
          <w:sz w:val="32"/>
          <w:szCs w:val="32"/>
        </w:rPr>
        <w:t>成立县制造业发展指挥部，建立部门、园区、乡镇</w:t>
      </w:r>
      <w:r>
        <w:rPr>
          <w:rFonts w:ascii="楷体_GB2312" w:eastAsia="楷体_GB2312" w:hAnsi="微软雅黑" w:hint="eastAsia"/>
          <w:color w:val="575757"/>
          <w:sz w:val="32"/>
          <w:szCs w:val="32"/>
        </w:rPr>
        <w:t>（街道）</w:t>
      </w:r>
      <w:r>
        <w:rPr>
          <w:rFonts w:ascii="仿宋_GB2312" w:eastAsia="仿宋_GB2312" w:hAnsi="微软雅黑" w:hint="eastAsia"/>
          <w:color w:val="575757"/>
          <w:sz w:val="32"/>
          <w:szCs w:val="32"/>
        </w:rPr>
        <w:t>协调联系制度，研究解决制造业发展中遇到的困难和问题。指挥部办公室设在县经信局。各成员单位要根据工作需要，建立相应的组织机构和工作机制。有关部门要加强协调，密切配合，形成合力，为加快制造业发展提供高效服务。</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（二）强化责任落实。</w:t>
      </w:r>
      <w:r>
        <w:rPr>
          <w:rFonts w:ascii="仿宋_GB2312" w:eastAsia="仿宋_GB2312" w:hAnsi="微软雅黑" w:hint="eastAsia"/>
          <w:color w:val="575757"/>
          <w:sz w:val="32"/>
          <w:szCs w:val="32"/>
        </w:rPr>
        <w:t>建立健全制造业发展目标责任制，细化分解年度工作任务并落实到人。各部门要切实担负起主体责任，主要领导亲自抓，认真推动主要目标不折不扣的完成，确保制造业发展取得实效。</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楷体_GB2312" w:eastAsia="楷体_GB2312" w:hAnsi="微软雅黑" w:hint="eastAsia"/>
          <w:color w:val="575757"/>
          <w:sz w:val="32"/>
          <w:szCs w:val="32"/>
        </w:rPr>
        <w:t>（三）强化监督考核。</w:t>
      </w:r>
      <w:r>
        <w:rPr>
          <w:rFonts w:ascii="仿宋_GB2312" w:eastAsia="仿宋_GB2312" w:hAnsi="微软雅黑" w:hint="eastAsia"/>
          <w:color w:val="575757"/>
          <w:sz w:val="32"/>
          <w:szCs w:val="32"/>
        </w:rPr>
        <w:t>完善目标考核体系，及时表彰和奖励先进；对在推动制造业发展中工作不力的园区、部门以及个人将给予通报批评和相应处理。加强对制造业奖补、发展资金的监管，有关部门按各自职责认真审核、严格把关，确保资金的合理高效使用。</w:t>
      </w:r>
    </w:p>
    <w:p w:rsidR="00DF4570" w:rsidRDefault="00DF4570" w:rsidP="00DF4570">
      <w:pPr>
        <w:pStyle w:val="a3"/>
        <w:spacing w:before="150" w:beforeAutospacing="0" w:after="150" w:afterAutospacing="0" w:line="520" w:lineRule="atLeast"/>
        <w:ind w:firstLine="640"/>
        <w:rPr>
          <w:rFonts w:ascii="微软雅黑" w:eastAsia="微软雅黑" w:hAnsi="微软雅黑" w:hint="eastAsia"/>
          <w:color w:val="575757"/>
        </w:rPr>
      </w:pPr>
      <w:r>
        <w:rPr>
          <w:rFonts w:ascii="微软雅黑" w:eastAsia="微软雅黑" w:hAnsi="微软雅黑" w:hint="eastAsia"/>
          <w:color w:val="575757"/>
        </w:rPr>
        <w:t> </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仿宋_GB2312" w:eastAsia="仿宋_GB2312" w:hAnsi="微软雅黑" w:hint="eastAsia"/>
          <w:color w:val="575757"/>
          <w:sz w:val="32"/>
          <w:szCs w:val="32"/>
        </w:rPr>
        <w:t>附件：</w:t>
      </w:r>
      <w:r>
        <w:rPr>
          <w:rFonts w:ascii="Times New Roman" w:eastAsia="微软雅黑" w:hAnsi="Times New Roman" w:cs="Times New Roman"/>
          <w:color w:val="575757"/>
          <w:sz w:val="32"/>
          <w:szCs w:val="32"/>
        </w:rPr>
        <w:t>1</w:t>
      </w:r>
      <w:r>
        <w:rPr>
          <w:rFonts w:ascii="仿宋_GB2312" w:eastAsia="仿宋_GB2312" w:hAnsi="微软雅黑" w:hint="eastAsia"/>
          <w:color w:val="575757"/>
          <w:sz w:val="32"/>
          <w:szCs w:val="32"/>
        </w:rPr>
        <w:t>．灌云县加快发展制造业财政支持政策细则</w:t>
      </w:r>
    </w:p>
    <w:p w:rsidR="00DF4570" w:rsidRDefault="00DF4570" w:rsidP="00DF4570">
      <w:pPr>
        <w:pStyle w:val="a3"/>
        <w:spacing w:before="0" w:beforeAutospacing="0" w:after="0" w:afterAutospacing="0" w:line="520" w:lineRule="atLeast"/>
        <w:ind w:firstLine="640"/>
        <w:rPr>
          <w:rFonts w:ascii="微软雅黑" w:eastAsia="微软雅黑" w:hAnsi="微软雅黑" w:hint="eastAsia"/>
          <w:color w:val="575757"/>
        </w:rPr>
      </w:pPr>
      <w:r>
        <w:rPr>
          <w:rFonts w:ascii="Times New Roman" w:eastAsia="微软雅黑" w:hAnsi="Times New Roman" w:cs="Times New Roman"/>
          <w:color w:val="575757"/>
          <w:sz w:val="32"/>
          <w:szCs w:val="32"/>
        </w:rPr>
        <w:t>      2</w:t>
      </w:r>
      <w:r>
        <w:rPr>
          <w:rFonts w:ascii="仿宋_GB2312" w:eastAsia="仿宋_GB2312" w:hAnsi="微软雅黑" w:hint="eastAsia"/>
          <w:color w:val="575757"/>
          <w:sz w:val="32"/>
          <w:szCs w:val="32"/>
        </w:rPr>
        <w:t>．灌云县制造业发展行动计划（</w:t>
      </w:r>
      <w:r>
        <w:rPr>
          <w:rFonts w:ascii="Times New Roman" w:eastAsia="微软雅黑" w:hAnsi="Times New Roman" w:cs="Times New Roman"/>
          <w:color w:val="575757"/>
          <w:sz w:val="32"/>
          <w:szCs w:val="32"/>
        </w:rPr>
        <w:t>2017-2020</w:t>
      </w:r>
      <w:r>
        <w:rPr>
          <w:rFonts w:ascii="仿宋_GB2312" w:eastAsia="仿宋_GB2312" w:hAnsi="微软雅黑" w:hint="eastAsia"/>
          <w:color w:val="575757"/>
          <w:sz w:val="32"/>
          <w:szCs w:val="32"/>
        </w:rPr>
        <w:t>年）</w:t>
      </w:r>
    </w:p>
    <w:p w:rsidR="00DF4570" w:rsidRDefault="00DF4570" w:rsidP="00DF4570">
      <w:pPr>
        <w:pStyle w:val="a3"/>
        <w:spacing w:before="150" w:beforeAutospacing="0" w:after="150" w:afterAutospacing="0" w:line="520" w:lineRule="atLeast"/>
        <w:ind w:firstLine="640"/>
        <w:rPr>
          <w:rFonts w:ascii="微软雅黑" w:eastAsia="微软雅黑" w:hAnsi="微软雅黑" w:hint="eastAsia"/>
          <w:color w:val="575757"/>
        </w:rPr>
      </w:pPr>
      <w:r>
        <w:rPr>
          <w:rFonts w:ascii="微软雅黑" w:eastAsia="微软雅黑" w:hAnsi="微软雅黑" w:hint="eastAsia"/>
          <w:color w:val="575757"/>
        </w:rPr>
        <w:t> </w:t>
      </w:r>
    </w:p>
    <w:p w:rsidR="00DF4570" w:rsidRDefault="00DF4570" w:rsidP="00DF4570">
      <w:pPr>
        <w:pStyle w:val="a3"/>
        <w:spacing w:before="150" w:beforeAutospacing="0" w:after="150" w:afterAutospacing="0" w:line="520" w:lineRule="atLeast"/>
        <w:ind w:firstLine="640"/>
        <w:rPr>
          <w:rFonts w:ascii="微软雅黑" w:eastAsia="微软雅黑" w:hAnsi="微软雅黑" w:hint="eastAsia"/>
          <w:color w:val="575757"/>
        </w:rPr>
      </w:pPr>
      <w:r>
        <w:rPr>
          <w:rFonts w:ascii="微软雅黑" w:eastAsia="微软雅黑" w:hAnsi="微软雅黑" w:hint="eastAsia"/>
          <w:color w:val="575757"/>
        </w:rPr>
        <w:t> </w:t>
      </w:r>
    </w:p>
    <w:p w:rsidR="00DF4570" w:rsidRDefault="00DF4570" w:rsidP="00DF4570">
      <w:pPr>
        <w:pStyle w:val="a3"/>
        <w:spacing w:before="150" w:beforeAutospacing="0" w:after="150" w:afterAutospacing="0" w:line="520" w:lineRule="atLeast"/>
        <w:ind w:firstLine="5600"/>
        <w:rPr>
          <w:rFonts w:ascii="微软雅黑" w:eastAsia="微软雅黑" w:hAnsi="微软雅黑" w:hint="eastAsia"/>
          <w:color w:val="575757"/>
        </w:rPr>
      </w:pPr>
      <w:r>
        <w:rPr>
          <w:rFonts w:ascii="微软雅黑" w:eastAsia="微软雅黑" w:hAnsi="微软雅黑" w:hint="eastAsia"/>
          <w:color w:val="575757"/>
        </w:rPr>
        <w:t> </w:t>
      </w:r>
    </w:p>
    <w:p w:rsidR="00DF4570" w:rsidRDefault="00DF4570" w:rsidP="00DF4570">
      <w:pPr>
        <w:pStyle w:val="a3"/>
        <w:spacing w:before="0" w:beforeAutospacing="0" w:after="0" w:afterAutospacing="0" w:line="520" w:lineRule="atLeast"/>
        <w:ind w:firstLine="5600"/>
        <w:rPr>
          <w:rFonts w:ascii="微软雅黑" w:eastAsia="微软雅黑" w:hAnsi="微软雅黑" w:hint="eastAsia"/>
          <w:color w:val="575757"/>
        </w:rPr>
      </w:pPr>
      <w:r>
        <w:rPr>
          <w:rFonts w:ascii="仿宋_GB2312" w:eastAsia="仿宋_GB2312" w:hAnsi="微软雅黑" w:hint="eastAsia"/>
          <w:color w:val="575757"/>
          <w:sz w:val="32"/>
          <w:szCs w:val="32"/>
        </w:rPr>
        <w:lastRenderedPageBreak/>
        <w:t>灌云县人民政府</w:t>
      </w:r>
    </w:p>
    <w:p w:rsidR="00DF4570" w:rsidRDefault="00DF4570" w:rsidP="00DF4570">
      <w:pPr>
        <w:pStyle w:val="a3"/>
        <w:spacing w:before="0" w:beforeAutospacing="0" w:after="0" w:afterAutospacing="0" w:line="520" w:lineRule="atLeast"/>
        <w:ind w:firstLine="5600"/>
        <w:rPr>
          <w:rFonts w:ascii="微软雅黑" w:eastAsia="微软雅黑" w:hAnsi="微软雅黑" w:hint="eastAsia"/>
          <w:color w:val="575757"/>
        </w:rPr>
      </w:pPr>
      <w:r>
        <w:rPr>
          <w:rFonts w:ascii="Times New Roman" w:eastAsia="微软雅黑" w:hAnsi="Times New Roman" w:cs="Times New Roman"/>
          <w:color w:val="575757"/>
          <w:sz w:val="32"/>
          <w:szCs w:val="32"/>
        </w:rPr>
        <w:t>2017</w:t>
      </w:r>
      <w:r>
        <w:rPr>
          <w:rFonts w:ascii="仿宋_GB2312" w:eastAsia="仿宋_GB2312" w:hAnsi="微软雅黑" w:hint="eastAsia"/>
          <w:color w:val="575757"/>
          <w:sz w:val="32"/>
          <w:szCs w:val="32"/>
        </w:rPr>
        <w:t>年</w:t>
      </w:r>
      <w:r>
        <w:rPr>
          <w:rFonts w:ascii="Times New Roman" w:eastAsia="微软雅黑" w:hAnsi="Times New Roman" w:cs="Times New Roman"/>
          <w:color w:val="575757"/>
          <w:sz w:val="32"/>
          <w:szCs w:val="32"/>
        </w:rPr>
        <w:t>6</w:t>
      </w:r>
      <w:r>
        <w:rPr>
          <w:rFonts w:ascii="仿宋_GB2312" w:eastAsia="仿宋_GB2312" w:hAnsi="微软雅黑" w:hint="eastAsia"/>
          <w:color w:val="575757"/>
          <w:sz w:val="32"/>
          <w:szCs w:val="32"/>
        </w:rPr>
        <w:t>月</w:t>
      </w:r>
      <w:r>
        <w:rPr>
          <w:rFonts w:ascii="Times New Roman" w:eastAsia="微软雅黑" w:hAnsi="Times New Roman" w:cs="Times New Roman"/>
          <w:color w:val="575757"/>
          <w:sz w:val="32"/>
          <w:szCs w:val="32"/>
        </w:rPr>
        <w:t>20</w:t>
      </w:r>
      <w:r>
        <w:rPr>
          <w:rFonts w:ascii="仿宋_GB2312" w:eastAsia="仿宋_GB2312" w:hAnsi="微软雅黑" w:hint="eastAsia"/>
          <w:color w:val="575757"/>
          <w:sz w:val="32"/>
          <w:szCs w:val="32"/>
        </w:rPr>
        <w:t>日</w:t>
      </w:r>
    </w:p>
    <w:p w:rsidR="00DF4570" w:rsidRDefault="00DF4570" w:rsidP="00DF4570">
      <w:pPr>
        <w:pStyle w:val="a3"/>
        <w:spacing w:before="150" w:beforeAutospacing="0" w:after="150" w:afterAutospacing="0" w:line="560" w:lineRule="atLeast"/>
        <w:ind w:firstLine="5600"/>
        <w:rPr>
          <w:rFonts w:ascii="微软雅黑" w:eastAsia="微软雅黑" w:hAnsi="微软雅黑" w:hint="eastAsia"/>
          <w:color w:val="575757"/>
        </w:rPr>
      </w:pPr>
      <w:r>
        <w:rPr>
          <w:rFonts w:ascii="微软雅黑" w:eastAsia="微软雅黑" w:hAnsi="微软雅黑" w:hint="eastAsia"/>
          <w:color w:val="575757"/>
        </w:rPr>
        <w:t> </w:t>
      </w:r>
    </w:p>
    <w:p w:rsidR="00DF4570" w:rsidRDefault="00DF4570" w:rsidP="00DF4570">
      <w:pPr>
        <w:pStyle w:val="a3"/>
        <w:spacing w:before="150" w:beforeAutospacing="0" w:after="150" w:afterAutospacing="0" w:line="560" w:lineRule="atLeast"/>
        <w:ind w:firstLine="5600"/>
        <w:rPr>
          <w:rFonts w:ascii="微软雅黑" w:eastAsia="微软雅黑" w:hAnsi="微软雅黑" w:hint="eastAsia"/>
          <w:color w:val="575757"/>
        </w:rPr>
      </w:pPr>
      <w:r>
        <w:rPr>
          <w:rFonts w:ascii="微软雅黑" w:eastAsia="微软雅黑" w:hAnsi="微软雅黑" w:hint="eastAsia"/>
          <w:color w:val="575757"/>
        </w:rPr>
        <w:t> </w:t>
      </w:r>
    </w:p>
    <w:p w:rsidR="00DF4570" w:rsidRDefault="00DF4570" w:rsidP="00DF4570">
      <w:pPr>
        <w:pStyle w:val="a3"/>
        <w:spacing w:before="150" w:beforeAutospacing="0" w:after="150" w:afterAutospacing="0" w:line="450" w:lineRule="atLeast"/>
        <w:rPr>
          <w:rFonts w:ascii="微软雅黑" w:eastAsia="微软雅黑" w:hAnsi="微软雅黑" w:hint="eastAsia"/>
          <w:color w:val="575757"/>
        </w:rPr>
      </w:pPr>
      <w:r>
        <w:rPr>
          <w:rFonts w:ascii="微软雅黑" w:eastAsia="微软雅黑" w:hAnsi="微软雅黑" w:hint="eastAsia"/>
          <w:color w:val="575757"/>
        </w:rPr>
        <w:br w:type="textWrapping" w:clear="all"/>
        <w:t> </w:t>
      </w:r>
    </w:p>
    <w:p w:rsidR="00DF4570" w:rsidRDefault="00DF4570" w:rsidP="00DF4570">
      <w:pPr>
        <w:pStyle w:val="a3"/>
        <w:spacing w:before="0" w:beforeAutospacing="0" w:after="0" w:afterAutospacing="0" w:line="600" w:lineRule="atLeast"/>
        <w:rPr>
          <w:rFonts w:ascii="微软雅黑" w:eastAsia="微软雅黑" w:hAnsi="微软雅黑" w:hint="eastAsia"/>
          <w:color w:val="575757"/>
        </w:rPr>
      </w:pPr>
      <w:r>
        <w:rPr>
          <w:rFonts w:ascii="黑体" w:eastAsia="黑体" w:hAnsi="黑体" w:hint="eastAsia"/>
          <w:color w:val="575757"/>
          <w:sz w:val="32"/>
          <w:szCs w:val="32"/>
        </w:rPr>
        <w:t>附件1</w:t>
      </w:r>
    </w:p>
    <w:p w:rsidR="00DF4570" w:rsidRDefault="00DF4570" w:rsidP="00DF4570">
      <w:pPr>
        <w:pStyle w:val="a3"/>
        <w:spacing w:before="0" w:beforeAutospacing="0" w:after="0" w:afterAutospacing="0" w:line="560" w:lineRule="atLeast"/>
        <w:jc w:val="center"/>
        <w:rPr>
          <w:rFonts w:ascii="微软雅黑" w:eastAsia="微软雅黑" w:hAnsi="微软雅黑" w:hint="eastAsia"/>
          <w:color w:val="575757"/>
        </w:rPr>
      </w:pPr>
      <w:r>
        <w:rPr>
          <w:rFonts w:ascii="方正小标宋简体" w:eastAsia="方正小标宋简体" w:hAnsi="微软雅黑" w:hint="eastAsia"/>
          <w:color w:val="575757"/>
          <w:sz w:val="44"/>
          <w:szCs w:val="44"/>
        </w:rPr>
        <w:t>灌云县加快发展制造业财政支持政策细则</w:t>
      </w:r>
    </w:p>
    <w:p w:rsidR="00DF4570" w:rsidRDefault="00DF4570" w:rsidP="00DF4570">
      <w:pPr>
        <w:pStyle w:val="a3"/>
        <w:spacing w:before="0" w:beforeAutospacing="0" w:after="0" w:afterAutospacing="0" w:line="400" w:lineRule="atLeast"/>
        <w:jc w:val="right"/>
        <w:rPr>
          <w:rFonts w:ascii="微软雅黑" w:eastAsia="微软雅黑" w:hAnsi="微软雅黑" w:hint="eastAsia"/>
          <w:color w:val="575757"/>
        </w:rPr>
      </w:pPr>
      <w:r>
        <w:rPr>
          <w:rFonts w:ascii="楷体_GB2312" w:eastAsia="楷体_GB2312" w:hAnsi="微软雅黑" w:hint="eastAsia"/>
          <w:color w:val="575757"/>
          <w:sz w:val="28"/>
          <w:szCs w:val="28"/>
        </w:rPr>
        <w:t>单位：万元</w:t>
      </w:r>
    </w:p>
    <w:tbl>
      <w:tblPr>
        <w:tblW w:w="0" w:type="auto"/>
        <w:tblInd w:w="87" w:type="dxa"/>
        <w:tblCellMar>
          <w:left w:w="0" w:type="dxa"/>
          <w:right w:w="0" w:type="dxa"/>
        </w:tblCellMar>
        <w:tblLook w:val="04A0" w:firstRow="1" w:lastRow="0" w:firstColumn="1" w:lastColumn="0" w:noHBand="0" w:noVBand="1"/>
      </w:tblPr>
      <w:tblGrid>
        <w:gridCol w:w="557"/>
        <w:gridCol w:w="1534"/>
        <w:gridCol w:w="2988"/>
        <w:gridCol w:w="1140"/>
        <w:gridCol w:w="1980"/>
      </w:tblGrid>
      <w:tr w:rsidR="00DF4570" w:rsidTr="00DF4570">
        <w:trPr>
          <w:trHeight w:val="510"/>
          <w:tblHeader/>
        </w:trPr>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rFonts w:hint="eastAsia"/>
                <w:b/>
                <w:bCs/>
              </w:rPr>
            </w:pPr>
            <w:r>
              <w:rPr>
                <w:rFonts w:ascii="黑体" w:eastAsia="黑体" w:hAnsi="黑体" w:hint="eastAsia"/>
                <w:b/>
                <w:bCs/>
              </w:rPr>
              <w:t>序号</w:t>
            </w:r>
          </w:p>
        </w:tc>
        <w:tc>
          <w:tcPr>
            <w:tcW w:w="2430" w:type="dxa"/>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b/>
                <w:bCs/>
              </w:rPr>
            </w:pPr>
            <w:r>
              <w:rPr>
                <w:rFonts w:ascii="黑体" w:eastAsia="黑体" w:hAnsi="黑体" w:hint="eastAsia"/>
                <w:b/>
                <w:bCs/>
              </w:rPr>
              <w:t>类</w:t>
            </w:r>
            <w:r>
              <w:rPr>
                <w:b/>
                <w:bCs/>
              </w:rPr>
              <w:t>  </w:t>
            </w:r>
            <w:r>
              <w:rPr>
                <w:rFonts w:ascii="黑体" w:eastAsia="黑体" w:hAnsi="黑体" w:hint="eastAsia"/>
                <w:b/>
                <w:bCs/>
              </w:rPr>
              <w:t>别</w:t>
            </w:r>
          </w:p>
        </w:tc>
        <w:tc>
          <w:tcPr>
            <w:tcW w:w="8475" w:type="dxa"/>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b/>
                <w:bCs/>
              </w:rPr>
            </w:pPr>
            <w:r>
              <w:rPr>
                <w:rFonts w:ascii="黑体" w:eastAsia="黑体" w:hAnsi="黑体" w:hint="eastAsia"/>
                <w:b/>
                <w:bCs/>
              </w:rPr>
              <w:t>支持政策细则</w:t>
            </w:r>
          </w:p>
        </w:tc>
        <w:tc>
          <w:tcPr>
            <w:tcW w:w="1140" w:type="dxa"/>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b/>
                <w:bCs/>
              </w:rPr>
            </w:pPr>
            <w:r>
              <w:rPr>
                <w:rFonts w:ascii="黑体" w:eastAsia="黑体" w:hAnsi="黑体" w:hint="eastAsia"/>
                <w:b/>
                <w:bCs/>
              </w:rPr>
              <w:t>限</w:t>
            </w:r>
            <w:r>
              <w:rPr>
                <w:b/>
                <w:bCs/>
              </w:rPr>
              <w:t> </w:t>
            </w:r>
            <w:r>
              <w:rPr>
                <w:rFonts w:ascii="黑体" w:eastAsia="黑体" w:hAnsi="黑体" w:hint="eastAsia"/>
                <w:b/>
                <w:bCs/>
              </w:rPr>
              <w:t>额</w:t>
            </w:r>
          </w:p>
        </w:tc>
        <w:tc>
          <w:tcPr>
            <w:tcW w:w="1980" w:type="dxa"/>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b/>
                <w:bCs/>
              </w:rPr>
            </w:pPr>
            <w:r>
              <w:rPr>
                <w:rFonts w:ascii="黑体" w:eastAsia="黑体" w:hAnsi="黑体" w:hint="eastAsia"/>
                <w:b/>
                <w:bCs/>
              </w:rPr>
              <w:t>备</w:t>
            </w:r>
            <w:r>
              <w:rPr>
                <w:b/>
                <w:bCs/>
              </w:rPr>
              <w:t>  </w:t>
            </w:r>
            <w:r>
              <w:rPr>
                <w:rFonts w:ascii="黑体" w:eastAsia="黑体" w:hAnsi="黑体" w:hint="eastAsia"/>
                <w:b/>
                <w:bCs/>
              </w:rPr>
              <w:t>注</w:t>
            </w:r>
          </w:p>
        </w:tc>
      </w:tr>
      <w:tr w:rsidR="00DF4570" w:rsidTr="00DF4570">
        <w:trPr>
          <w:trHeight w:val="300"/>
        </w:trPr>
        <w:tc>
          <w:tcPr>
            <w:tcW w:w="810" w:type="dxa"/>
            <w:vMerge w:val="restar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w:t>
            </w:r>
          </w:p>
        </w:tc>
        <w:tc>
          <w:tcPr>
            <w:tcW w:w="24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支持重点企业提升经营</w:t>
            </w:r>
          </w:p>
          <w:p w:rsidR="00DF4570" w:rsidRDefault="00DF4570">
            <w:pPr>
              <w:pStyle w:val="a3"/>
              <w:spacing w:before="0" w:beforeAutospacing="0" w:after="0" w:afterAutospacing="0"/>
              <w:jc w:val="center"/>
            </w:pPr>
            <w:r>
              <w:rPr>
                <w:rFonts w:ascii="仿宋_GB2312" w:eastAsia="仿宋_GB2312" w:hint="eastAsia"/>
                <w:sz w:val="20"/>
                <w:szCs w:val="20"/>
              </w:rPr>
              <w:t>业绩</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设立超额突出贡献奖励。企业（集团）（不含房地产）当年度对上贡献总额与历史</w:t>
            </w:r>
            <w:proofErr w:type="gramStart"/>
            <w:r>
              <w:rPr>
                <w:rFonts w:ascii="仿宋_GB2312" w:eastAsia="仿宋_GB2312" w:hint="eastAsia"/>
                <w:sz w:val="20"/>
                <w:szCs w:val="20"/>
              </w:rPr>
              <w:t>最</w:t>
            </w:r>
            <w:proofErr w:type="gramEnd"/>
            <w:r>
              <w:rPr>
                <w:rFonts w:ascii="仿宋_GB2312" w:eastAsia="仿宋_GB2312" w:hint="eastAsia"/>
                <w:sz w:val="20"/>
                <w:szCs w:val="20"/>
              </w:rPr>
              <w:t>高额相比，超过历史</w:t>
            </w:r>
            <w:proofErr w:type="gramStart"/>
            <w:r>
              <w:rPr>
                <w:rFonts w:ascii="仿宋_GB2312" w:eastAsia="仿宋_GB2312" w:hint="eastAsia"/>
                <w:sz w:val="20"/>
                <w:szCs w:val="20"/>
              </w:rPr>
              <w:t>最</w:t>
            </w:r>
            <w:proofErr w:type="gramEnd"/>
            <w:r>
              <w:rPr>
                <w:rFonts w:ascii="仿宋_GB2312" w:eastAsia="仿宋_GB2312" w:hint="eastAsia"/>
                <w:sz w:val="20"/>
                <w:szCs w:val="20"/>
              </w:rPr>
              <w:t>高额</w:t>
            </w:r>
            <w:r>
              <w:rPr>
                <w:rFonts w:ascii="Times New Roman" w:hAnsi="Times New Roman" w:cs="Times New Roman"/>
                <w:sz w:val="20"/>
                <w:szCs w:val="20"/>
              </w:rPr>
              <w:t>0.5</w:t>
            </w:r>
            <w:r>
              <w:rPr>
                <w:rFonts w:ascii="仿宋_GB2312" w:eastAsia="仿宋_GB2312" w:hint="eastAsia"/>
                <w:sz w:val="20"/>
                <w:szCs w:val="20"/>
              </w:rPr>
              <w:t>亿元</w:t>
            </w:r>
            <w:r>
              <w:rPr>
                <w:rFonts w:ascii="Times New Roman" w:hAnsi="Times New Roman" w:cs="Times New Roman"/>
                <w:sz w:val="20"/>
                <w:szCs w:val="20"/>
              </w:rPr>
              <w:t>-1</w:t>
            </w:r>
            <w:r>
              <w:rPr>
                <w:rFonts w:ascii="仿宋_GB2312" w:eastAsia="仿宋_GB2312" w:hint="eastAsia"/>
                <w:sz w:val="20"/>
                <w:szCs w:val="20"/>
              </w:rPr>
              <w:t>亿元，奖励</w:t>
            </w:r>
            <w:r>
              <w:rPr>
                <w:rFonts w:ascii="Times New Roman" w:hAnsi="Times New Roman" w:cs="Times New Roman"/>
                <w:sz w:val="20"/>
                <w:szCs w:val="20"/>
              </w:rPr>
              <w:t>50</w:t>
            </w:r>
            <w:r>
              <w:rPr>
                <w:rFonts w:ascii="仿宋_GB2312" w:eastAsia="仿宋_GB2312" w:hint="eastAsia"/>
                <w:sz w:val="20"/>
                <w:szCs w:val="20"/>
              </w:rPr>
              <w:t>万元；超过历史</w:t>
            </w:r>
            <w:proofErr w:type="gramStart"/>
            <w:r>
              <w:rPr>
                <w:rFonts w:ascii="仿宋_GB2312" w:eastAsia="仿宋_GB2312" w:hint="eastAsia"/>
                <w:sz w:val="20"/>
                <w:szCs w:val="20"/>
              </w:rPr>
              <w:t>最</w:t>
            </w:r>
            <w:proofErr w:type="gramEnd"/>
            <w:r>
              <w:rPr>
                <w:rFonts w:ascii="仿宋_GB2312" w:eastAsia="仿宋_GB2312" w:hint="eastAsia"/>
                <w:sz w:val="20"/>
                <w:szCs w:val="20"/>
              </w:rPr>
              <w:t>高额</w:t>
            </w:r>
            <w:r>
              <w:rPr>
                <w:rFonts w:ascii="Times New Roman" w:hAnsi="Times New Roman" w:cs="Times New Roman"/>
                <w:sz w:val="20"/>
                <w:szCs w:val="20"/>
              </w:rPr>
              <w:t>1</w:t>
            </w:r>
            <w:r>
              <w:rPr>
                <w:rFonts w:ascii="仿宋_GB2312" w:eastAsia="仿宋_GB2312" w:hint="eastAsia"/>
                <w:sz w:val="20"/>
                <w:szCs w:val="20"/>
              </w:rPr>
              <w:t>亿元（含）以上的，奖励</w:t>
            </w:r>
            <w:r>
              <w:rPr>
                <w:rFonts w:ascii="Times New Roman" w:hAnsi="Times New Roman" w:cs="Times New Roman"/>
                <w:sz w:val="20"/>
                <w:szCs w:val="20"/>
              </w:rPr>
              <w:t>100</w:t>
            </w:r>
            <w:r>
              <w:rPr>
                <w:rFonts w:ascii="仿宋_GB2312" w:eastAsia="仿宋_GB2312" w:hint="eastAsia"/>
                <w:sz w:val="20"/>
                <w:szCs w:val="20"/>
              </w:rPr>
              <w:t>万元。</w:t>
            </w:r>
          </w:p>
        </w:tc>
        <w:tc>
          <w:tcPr>
            <w:tcW w:w="114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200</w:t>
            </w:r>
          </w:p>
        </w:tc>
        <w:tc>
          <w:tcPr>
            <w:tcW w:w="198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支持企业</w:t>
            </w:r>
            <w:proofErr w:type="gramStart"/>
            <w:r>
              <w:rPr>
                <w:rFonts w:ascii="仿宋_GB2312" w:eastAsia="仿宋_GB2312" w:hint="eastAsia"/>
                <w:sz w:val="20"/>
                <w:szCs w:val="20"/>
              </w:rPr>
              <w:t>做优做</w:t>
            </w:r>
            <w:proofErr w:type="gramEnd"/>
            <w:r>
              <w:rPr>
                <w:rFonts w:ascii="仿宋_GB2312" w:eastAsia="仿宋_GB2312" w:hint="eastAsia"/>
                <w:sz w:val="20"/>
                <w:szCs w:val="20"/>
              </w:rPr>
              <w:t>强</w:t>
            </w:r>
          </w:p>
        </w:tc>
      </w:tr>
      <w:tr w:rsidR="00DF4570" w:rsidTr="00DF4570">
        <w:trPr>
          <w:trHeight w:val="81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培育行业单项冠军。对当年认定的县级专精特新产品和小巨人企业，分别给予</w:t>
            </w:r>
            <w:r>
              <w:rPr>
                <w:rFonts w:ascii="Times New Roman" w:hAnsi="Times New Roman" w:cs="Times New Roman"/>
                <w:sz w:val="20"/>
                <w:szCs w:val="20"/>
              </w:rPr>
              <w:t>5</w:t>
            </w:r>
            <w:r>
              <w:rPr>
                <w:rFonts w:ascii="仿宋_GB2312" w:eastAsia="仿宋_GB2312" w:hint="eastAsia"/>
                <w:sz w:val="20"/>
                <w:szCs w:val="20"/>
              </w:rPr>
              <w:t>万元、</w:t>
            </w:r>
            <w:r>
              <w:rPr>
                <w:rFonts w:ascii="Times New Roman" w:hAnsi="Times New Roman" w:cs="Times New Roman"/>
                <w:sz w:val="20"/>
                <w:szCs w:val="20"/>
              </w:rPr>
              <w:t>10</w:t>
            </w:r>
            <w:r>
              <w:rPr>
                <w:rFonts w:ascii="仿宋_GB2312" w:eastAsia="仿宋_GB2312" w:hint="eastAsia"/>
                <w:sz w:val="20"/>
                <w:szCs w:val="20"/>
              </w:rPr>
              <w:t>万元奖励。</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405"/>
        </w:trPr>
        <w:tc>
          <w:tcPr>
            <w:tcW w:w="810" w:type="dxa"/>
            <w:vMerge w:val="restar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w:t>
            </w:r>
          </w:p>
        </w:tc>
        <w:tc>
          <w:tcPr>
            <w:tcW w:w="24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支持品牌、质量、标准</w:t>
            </w:r>
          </w:p>
          <w:p w:rsidR="00DF4570" w:rsidRDefault="00DF4570">
            <w:pPr>
              <w:pStyle w:val="a3"/>
              <w:spacing w:before="0" w:beforeAutospacing="0" w:after="0" w:afterAutospacing="0"/>
              <w:jc w:val="center"/>
            </w:pPr>
            <w:r>
              <w:rPr>
                <w:rFonts w:ascii="仿宋_GB2312" w:eastAsia="仿宋_GB2312" w:hint="eastAsia"/>
                <w:sz w:val="20"/>
                <w:szCs w:val="20"/>
              </w:rPr>
              <w:t>建设</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支持企业推进品牌建设。对当年度获得行政认定中国驰名商标的，奖励</w:t>
            </w:r>
            <w:r>
              <w:rPr>
                <w:rFonts w:ascii="Times New Roman" w:hAnsi="Times New Roman" w:cs="Times New Roman"/>
                <w:sz w:val="20"/>
                <w:szCs w:val="20"/>
              </w:rPr>
              <w:t>30</w:t>
            </w:r>
            <w:r>
              <w:rPr>
                <w:rFonts w:ascii="仿宋_GB2312" w:eastAsia="仿宋_GB2312" w:hint="eastAsia"/>
                <w:sz w:val="20"/>
                <w:szCs w:val="20"/>
              </w:rPr>
              <w:t>万元。</w:t>
            </w:r>
          </w:p>
        </w:tc>
        <w:tc>
          <w:tcPr>
            <w:tcW w:w="114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100</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735"/>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支持企业提升质量水平。对当年度首次获得中国质量奖、江苏质量奖的企业，分别奖励</w:t>
            </w:r>
            <w:r>
              <w:rPr>
                <w:rFonts w:ascii="Times New Roman" w:hAnsi="Times New Roman" w:cs="Times New Roman"/>
                <w:sz w:val="20"/>
                <w:szCs w:val="20"/>
              </w:rPr>
              <w:t>100</w:t>
            </w:r>
            <w:r>
              <w:rPr>
                <w:rFonts w:ascii="仿宋_GB2312" w:eastAsia="仿宋_GB2312" w:hint="eastAsia"/>
                <w:sz w:val="20"/>
                <w:szCs w:val="20"/>
              </w:rPr>
              <w:t>万元、</w:t>
            </w:r>
            <w:r>
              <w:rPr>
                <w:rFonts w:ascii="Times New Roman" w:hAnsi="Times New Roman" w:cs="Times New Roman"/>
                <w:sz w:val="20"/>
                <w:szCs w:val="20"/>
              </w:rPr>
              <w:t>80</w:t>
            </w:r>
            <w:r>
              <w:rPr>
                <w:rFonts w:ascii="仿宋_GB2312" w:eastAsia="仿宋_GB2312" w:hint="eastAsia"/>
                <w:sz w:val="20"/>
                <w:szCs w:val="20"/>
              </w:rPr>
              <w:t>万元。</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123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支持加强标准化建设。对制定省级地方标准、行业标准、国家标准和国际标准，作为主要起草的企事业单位，经审核确</w:t>
            </w:r>
            <w:r>
              <w:rPr>
                <w:rFonts w:ascii="仿宋_GB2312" w:eastAsia="仿宋_GB2312" w:hint="eastAsia"/>
                <w:sz w:val="20"/>
                <w:szCs w:val="20"/>
              </w:rPr>
              <w:lastRenderedPageBreak/>
              <w:t>认后，每年完成一个项目分别给予</w:t>
            </w:r>
            <w:r>
              <w:rPr>
                <w:rFonts w:ascii="Times New Roman" w:hAnsi="Times New Roman" w:cs="Times New Roman"/>
                <w:sz w:val="20"/>
                <w:szCs w:val="20"/>
              </w:rPr>
              <w:t>3</w:t>
            </w:r>
            <w:r>
              <w:rPr>
                <w:rFonts w:ascii="仿宋_GB2312" w:eastAsia="仿宋_GB2312" w:hint="eastAsia"/>
                <w:sz w:val="20"/>
                <w:szCs w:val="20"/>
              </w:rPr>
              <w:t>万元、</w:t>
            </w:r>
            <w:r>
              <w:rPr>
                <w:rFonts w:ascii="Times New Roman" w:hAnsi="Times New Roman" w:cs="Times New Roman"/>
                <w:sz w:val="20"/>
                <w:szCs w:val="20"/>
              </w:rPr>
              <w:t>5</w:t>
            </w:r>
            <w:r>
              <w:rPr>
                <w:rFonts w:ascii="仿宋_GB2312" w:eastAsia="仿宋_GB2312" w:hint="eastAsia"/>
                <w:sz w:val="20"/>
                <w:szCs w:val="20"/>
              </w:rPr>
              <w:t>万元、</w:t>
            </w:r>
            <w:r>
              <w:rPr>
                <w:rFonts w:ascii="Times New Roman" w:hAnsi="Times New Roman" w:cs="Times New Roman"/>
                <w:sz w:val="20"/>
                <w:szCs w:val="20"/>
              </w:rPr>
              <w:t>10</w:t>
            </w:r>
            <w:r>
              <w:rPr>
                <w:rFonts w:ascii="仿宋_GB2312" w:eastAsia="仿宋_GB2312" w:hint="eastAsia"/>
                <w:sz w:val="20"/>
                <w:szCs w:val="20"/>
              </w:rPr>
              <w:t>万元和</w:t>
            </w:r>
            <w:r>
              <w:rPr>
                <w:rFonts w:ascii="Times New Roman" w:hAnsi="Times New Roman" w:cs="Times New Roman"/>
                <w:sz w:val="20"/>
                <w:szCs w:val="20"/>
              </w:rPr>
              <w:t>20</w:t>
            </w:r>
            <w:r>
              <w:rPr>
                <w:rFonts w:ascii="仿宋_GB2312" w:eastAsia="仿宋_GB2312" w:hint="eastAsia"/>
                <w:sz w:val="20"/>
                <w:szCs w:val="20"/>
              </w:rPr>
              <w:t>万元的资金补助。</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690"/>
        </w:trPr>
        <w:tc>
          <w:tcPr>
            <w:tcW w:w="810" w:type="dxa"/>
            <w:vMerge w:val="restar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lastRenderedPageBreak/>
              <w:t>3</w:t>
            </w:r>
          </w:p>
        </w:tc>
        <w:tc>
          <w:tcPr>
            <w:tcW w:w="24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支持企业上市</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企业在主板成功上市后，其再融资额用于县内产业投资的，对企业实施奖励，按实际再融资（投入我县）金额的</w:t>
            </w:r>
            <w:r>
              <w:rPr>
                <w:rFonts w:ascii="Times New Roman" w:hAnsi="Times New Roman" w:cs="Times New Roman"/>
                <w:sz w:val="20"/>
                <w:szCs w:val="20"/>
              </w:rPr>
              <w:t>3‰</w:t>
            </w:r>
            <w:r>
              <w:rPr>
                <w:rFonts w:ascii="仿宋_GB2312" w:eastAsia="仿宋_GB2312" w:hint="eastAsia"/>
                <w:sz w:val="20"/>
                <w:szCs w:val="20"/>
              </w:rPr>
              <w:t>给予奖励，单个企业最高奖励不超过</w:t>
            </w:r>
            <w:r>
              <w:rPr>
                <w:rFonts w:ascii="Times New Roman" w:hAnsi="Times New Roman" w:cs="Times New Roman"/>
                <w:sz w:val="20"/>
                <w:szCs w:val="20"/>
              </w:rPr>
              <w:t>200</w:t>
            </w:r>
            <w:r>
              <w:rPr>
                <w:rFonts w:ascii="仿宋_GB2312" w:eastAsia="仿宋_GB2312" w:hint="eastAsia"/>
                <w:sz w:val="20"/>
                <w:szCs w:val="20"/>
              </w:rPr>
              <w:t>万元。</w:t>
            </w:r>
          </w:p>
        </w:tc>
        <w:tc>
          <w:tcPr>
            <w:tcW w:w="114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150" w:beforeAutospacing="0" w:after="150" w:afterAutospacing="0"/>
              <w:jc w:val="center"/>
            </w:pPr>
            <w:r>
              <w:t> </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39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企业在</w:t>
            </w:r>
            <w:r>
              <w:rPr>
                <w:rFonts w:ascii="Times New Roman" w:hAnsi="Times New Roman" w:cs="Times New Roman"/>
                <w:sz w:val="20"/>
                <w:szCs w:val="20"/>
              </w:rPr>
              <w:t>“</w:t>
            </w:r>
            <w:r>
              <w:rPr>
                <w:rFonts w:ascii="仿宋_GB2312" w:eastAsia="仿宋_GB2312" w:hint="eastAsia"/>
                <w:sz w:val="20"/>
                <w:szCs w:val="20"/>
              </w:rPr>
              <w:t>新三板</w:t>
            </w:r>
            <w:r>
              <w:rPr>
                <w:rFonts w:ascii="Times New Roman" w:hAnsi="Times New Roman" w:cs="Times New Roman"/>
                <w:sz w:val="20"/>
                <w:szCs w:val="20"/>
              </w:rPr>
              <w:t>”</w:t>
            </w:r>
            <w:r>
              <w:rPr>
                <w:rFonts w:ascii="仿宋_GB2312" w:eastAsia="仿宋_GB2312" w:hint="eastAsia"/>
                <w:sz w:val="20"/>
                <w:szCs w:val="20"/>
              </w:rPr>
              <w:t>成功挂牌后，奖励</w:t>
            </w:r>
            <w:r>
              <w:rPr>
                <w:rFonts w:ascii="Times New Roman" w:hAnsi="Times New Roman" w:cs="Times New Roman"/>
                <w:sz w:val="20"/>
                <w:szCs w:val="20"/>
              </w:rPr>
              <w:t>100</w:t>
            </w:r>
            <w:r>
              <w:rPr>
                <w:rFonts w:ascii="仿宋_GB2312" w:eastAsia="仿宋_GB2312" w:hint="eastAsia"/>
                <w:sz w:val="20"/>
                <w:szCs w:val="20"/>
              </w:rPr>
              <w:t>万元。</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300"/>
        </w:trPr>
        <w:tc>
          <w:tcPr>
            <w:tcW w:w="810" w:type="dxa"/>
            <w:vMerge w:val="restar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4</w:t>
            </w:r>
          </w:p>
        </w:tc>
        <w:tc>
          <w:tcPr>
            <w:tcW w:w="24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支持制造业投资项目</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当年度重点实施</w:t>
            </w:r>
            <w:r>
              <w:rPr>
                <w:rFonts w:ascii="Times New Roman" w:hAnsi="Times New Roman" w:cs="Times New Roman"/>
                <w:sz w:val="20"/>
                <w:szCs w:val="20"/>
              </w:rPr>
              <w:t>10</w:t>
            </w:r>
            <w:r>
              <w:rPr>
                <w:rFonts w:ascii="仿宋_GB2312" w:eastAsia="仿宋_GB2312" w:hint="eastAsia"/>
                <w:sz w:val="20"/>
                <w:szCs w:val="20"/>
              </w:rPr>
              <w:t>个县级优势传统产业技术改造项目，每个项目奖励</w:t>
            </w:r>
            <w:r>
              <w:rPr>
                <w:rFonts w:ascii="Times New Roman" w:hAnsi="Times New Roman" w:cs="Times New Roman"/>
                <w:sz w:val="20"/>
                <w:szCs w:val="20"/>
              </w:rPr>
              <w:t>5</w:t>
            </w:r>
            <w:r>
              <w:rPr>
                <w:rFonts w:ascii="仿宋_GB2312" w:eastAsia="仿宋_GB2312" w:hint="eastAsia"/>
                <w:sz w:val="20"/>
                <w:szCs w:val="20"/>
              </w:rPr>
              <w:t>万元。以上奖励事项共限额</w:t>
            </w:r>
            <w:r>
              <w:rPr>
                <w:rFonts w:ascii="Times New Roman" w:hAnsi="Times New Roman" w:cs="Times New Roman"/>
                <w:sz w:val="20"/>
                <w:szCs w:val="20"/>
              </w:rPr>
              <w:t>50</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50</w:t>
            </w:r>
          </w:p>
        </w:tc>
        <w:tc>
          <w:tcPr>
            <w:tcW w:w="198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支持企业提档升级</w:t>
            </w:r>
          </w:p>
        </w:tc>
      </w:tr>
      <w:tr w:rsidR="00DF4570" w:rsidTr="00DF4570">
        <w:trPr>
          <w:trHeight w:val="30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对符合我县产业政策非限制类、淘汰类的制造业项目，按照项目管理权限，项目期内设备投入在</w:t>
            </w:r>
            <w:r>
              <w:rPr>
                <w:rFonts w:ascii="Times New Roman" w:hAnsi="Times New Roman" w:cs="Times New Roman"/>
                <w:sz w:val="20"/>
                <w:szCs w:val="20"/>
              </w:rPr>
              <w:t>1000</w:t>
            </w:r>
            <w:r>
              <w:rPr>
                <w:rFonts w:ascii="仿宋_GB2312" w:eastAsia="仿宋_GB2312" w:hint="eastAsia"/>
                <w:sz w:val="20"/>
                <w:szCs w:val="20"/>
              </w:rPr>
              <w:t>万元以上，当年竣工投产的，按照设备投入总额的</w:t>
            </w:r>
            <w:r>
              <w:rPr>
                <w:rFonts w:ascii="Times New Roman" w:hAnsi="Times New Roman" w:cs="Times New Roman"/>
                <w:sz w:val="20"/>
                <w:szCs w:val="20"/>
              </w:rPr>
              <w:t>2%</w:t>
            </w:r>
            <w:r>
              <w:rPr>
                <w:rFonts w:ascii="仿宋_GB2312" w:eastAsia="仿宋_GB2312" w:hint="eastAsia"/>
                <w:sz w:val="20"/>
                <w:szCs w:val="20"/>
              </w:rPr>
              <w:t>给予奖励。经认定的智能装备项目，按照智能设备投入总额的</w:t>
            </w:r>
            <w:r>
              <w:rPr>
                <w:rFonts w:ascii="Times New Roman" w:hAnsi="Times New Roman" w:cs="Times New Roman"/>
                <w:sz w:val="20"/>
                <w:szCs w:val="20"/>
              </w:rPr>
              <w:t>3%</w:t>
            </w:r>
            <w:r>
              <w:rPr>
                <w:rFonts w:ascii="仿宋_GB2312" w:eastAsia="仿宋_GB2312" w:hint="eastAsia"/>
                <w:sz w:val="20"/>
                <w:szCs w:val="20"/>
              </w:rPr>
              <w:t>给予奖励。以上奖励事项共限额</w:t>
            </w:r>
            <w:r>
              <w:rPr>
                <w:rFonts w:ascii="Times New Roman" w:hAnsi="Times New Roman" w:cs="Times New Roman"/>
                <w:sz w:val="20"/>
                <w:szCs w:val="20"/>
              </w:rPr>
              <w:t>200</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200</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690"/>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5</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鼓励企业装备创新和智能装备改造</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对通过省级及以上</w:t>
            </w:r>
            <w:r>
              <w:rPr>
                <w:rFonts w:ascii="Times New Roman" w:hAnsi="Times New Roman" w:cs="Times New Roman"/>
                <w:sz w:val="20"/>
                <w:szCs w:val="20"/>
              </w:rPr>
              <w:t>“</w:t>
            </w:r>
            <w:r>
              <w:rPr>
                <w:rFonts w:ascii="仿宋_GB2312" w:eastAsia="仿宋_GB2312" w:hint="eastAsia"/>
                <w:sz w:val="20"/>
                <w:szCs w:val="20"/>
              </w:rPr>
              <w:t>首台（套）重大装备及关键部件</w:t>
            </w:r>
            <w:r>
              <w:rPr>
                <w:rFonts w:ascii="Times New Roman" w:hAnsi="Times New Roman" w:cs="Times New Roman"/>
                <w:sz w:val="20"/>
                <w:szCs w:val="20"/>
              </w:rPr>
              <w:t>”</w:t>
            </w:r>
            <w:r>
              <w:rPr>
                <w:rFonts w:ascii="仿宋_GB2312" w:eastAsia="仿宋_GB2312" w:hint="eastAsia"/>
                <w:sz w:val="20"/>
                <w:szCs w:val="20"/>
              </w:rPr>
              <w:t>认定的企业，奖励</w:t>
            </w:r>
            <w:r>
              <w:rPr>
                <w:rFonts w:ascii="Times New Roman" w:hAnsi="Times New Roman" w:cs="Times New Roman"/>
                <w:sz w:val="20"/>
                <w:szCs w:val="20"/>
              </w:rPr>
              <w:t>10</w:t>
            </w:r>
            <w:r>
              <w:rPr>
                <w:rFonts w:ascii="仿宋_GB2312" w:eastAsia="仿宋_GB2312" w:hint="eastAsia"/>
                <w:sz w:val="20"/>
                <w:szCs w:val="20"/>
              </w:rPr>
              <w:t>万元；对当年认定为国家级、省级示范智能车间（工厂）的分别奖励</w:t>
            </w:r>
            <w:r>
              <w:rPr>
                <w:rFonts w:ascii="Times New Roman" w:hAnsi="Times New Roman" w:cs="Times New Roman"/>
                <w:sz w:val="20"/>
                <w:szCs w:val="20"/>
              </w:rPr>
              <w:t>50</w:t>
            </w:r>
            <w:r>
              <w:rPr>
                <w:rFonts w:ascii="仿宋_GB2312" w:eastAsia="仿宋_GB2312" w:hint="eastAsia"/>
                <w:sz w:val="20"/>
                <w:szCs w:val="20"/>
              </w:rPr>
              <w:t>万元、</w:t>
            </w:r>
            <w:r>
              <w:rPr>
                <w:rFonts w:ascii="Times New Roman" w:hAnsi="Times New Roman" w:cs="Times New Roman"/>
                <w:sz w:val="20"/>
                <w:szCs w:val="20"/>
              </w:rPr>
              <w:t>30</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150" w:beforeAutospacing="0" w:after="150" w:afterAutospacing="0"/>
              <w:jc w:val="center"/>
            </w:pPr>
            <w:r>
              <w:t> </w:t>
            </w:r>
          </w:p>
        </w:tc>
        <w:tc>
          <w:tcPr>
            <w:tcW w:w="198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支持企业科技创新</w:t>
            </w:r>
          </w:p>
        </w:tc>
      </w:tr>
      <w:tr w:rsidR="00DF4570" w:rsidTr="00DF4570">
        <w:trPr>
          <w:trHeight w:val="300"/>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6</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支持研发机构建设</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对当年度新认定的国家、省级企业技术中心、工程技术研究中心、工程中心、重点实验室、院士工作站、博士后工作站、研究生工作站等分别奖励</w:t>
            </w:r>
            <w:r>
              <w:rPr>
                <w:rFonts w:ascii="Times New Roman" w:hAnsi="Times New Roman" w:cs="Times New Roman"/>
                <w:sz w:val="20"/>
                <w:szCs w:val="20"/>
              </w:rPr>
              <w:t>30</w:t>
            </w:r>
            <w:r>
              <w:rPr>
                <w:rFonts w:ascii="仿宋_GB2312" w:eastAsia="仿宋_GB2312" w:hint="eastAsia"/>
                <w:sz w:val="20"/>
                <w:szCs w:val="20"/>
              </w:rPr>
              <w:t>万元、</w:t>
            </w:r>
            <w:r>
              <w:rPr>
                <w:rFonts w:ascii="Times New Roman" w:hAnsi="Times New Roman" w:cs="Times New Roman"/>
                <w:sz w:val="20"/>
                <w:szCs w:val="20"/>
              </w:rPr>
              <w:t>10</w:t>
            </w:r>
            <w:r>
              <w:rPr>
                <w:rFonts w:ascii="仿宋_GB2312" w:eastAsia="仿宋_GB2312" w:hint="eastAsia"/>
                <w:sz w:val="20"/>
                <w:szCs w:val="20"/>
              </w:rPr>
              <w:t>万元。</w:t>
            </w:r>
          </w:p>
        </w:tc>
        <w:tc>
          <w:tcPr>
            <w:tcW w:w="114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200</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300"/>
        </w:trPr>
        <w:tc>
          <w:tcPr>
            <w:tcW w:w="810" w:type="dxa"/>
            <w:vMerge w:val="restar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7</w:t>
            </w:r>
          </w:p>
        </w:tc>
        <w:tc>
          <w:tcPr>
            <w:tcW w:w="24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推动企业产学研合作</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推进科技基础设施建设。对当年度新认定的国家、省级科技创新载体（企业孵化器、</w:t>
            </w:r>
            <w:proofErr w:type="gramStart"/>
            <w:r>
              <w:rPr>
                <w:rFonts w:ascii="仿宋_GB2312" w:eastAsia="仿宋_GB2312" w:hint="eastAsia"/>
                <w:sz w:val="20"/>
                <w:szCs w:val="20"/>
              </w:rPr>
              <w:t>众创空间</w:t>
            </w:r>
            <w:proofErr w:type="gramEnd"/>
            <w:r>
              <w:rPr>
                <w:rFonts w:ascii="仿宋_GB2312" w:eastAsia="仿宋_GB2312" w:hint="eastAsia"/>
                <w:sz w:val="20"/>
                <w:szCs w:val="20"/>
              </w:rPr>
              <w:t>及其集聚区、科技创业孵化链条、公共技术服务平台、</w:t>
            </w:r>
            <w:r>
              <w:rPr>
                <w:rFonts w:ascii="仿宋_GB2312" w:eastAsia="仿宋_GB2312" w:hint="eastAsia"/>
                <w:sz w:val="20"/>
                <w:szCs w:val="20"/>
              </w:rPr>
              <w:lastRenderedPageBreak/>
              <w:t>加速器等），分别奖励建设单位</w:t>
            </w:r>
            <w:r>
              <w:rPr>
                <w:rFonts w:ascii="Times New Roman" w:hAnsi="Times New Roman" w:cs="Times New Roman"/>
                <w:sz w:val="20"/>
                <w:szCs w:val="20"/>
              </w:rPr>
              <w:t>50</w:t>
            </w:r>
            <w:r>
              <w:rPr>
                <w:rFonts w:ascii="仿宋_GB2312" w:eastAsia="仿宋_GB2312" w:hint="eastAsia"/>
                <w:sz w:val="20"/>
                <w:szCs w:val="20"/>
              </w:rPr>
              <w:t>万元、</w:t>
            </w:r>
            <w:r>
              <w:rPr>
                <w:rFonts w:ascii="Times New Roman" w:hAnsi="Times New Roman" w:cs="Times New Roman"/>
                <w:sz w:val="20"/>
                <w:szCs w:val="20"/>
              </w:rPr>
              <w:t>20</w:t>
            </w:r>
            <w:r>
              <w:rPr>
                <w:rFonts w:ascii="仿宋_GB2312" w:eastAsia="仿宋_GB2312" w:hint="eastAsia"/>
                <w:sz w:val="20"/>
                <w:szCs w:val="20"/>
              </w:rPr>
              <w:t>万元。加强对已建创新载体的运行绩效管理，年度考核优秀的单位，奖励</w:t>
            </w:r>
            <w:r>
              <w:rPr>
                <w:rFonts w:ascii="Times New Roman" w:hAnsi="Times New Roman" w:cs="Times New Roman"/>
                <w:sz w:val="20"/>
                <w:szCs w:val="20"/>
              </w:rPr>
              <w:t>10</w:t>
            </w:r>
            <w:r>
              <w:rPr>
                <w:rFonts w:ascii="仿宋_GB2312" w:eastAsia="仿宋_GB2312" w:hint="eastAsia"/>
                <w:sz w:val="20"/>
                <w:szCs w:val="20"/>
              </w:rPr>
              <w:t>万元，每年不超过</w:t>
            </w:r>
            <w:r>
              <w:rPr>
                <w:rFonts w:ascii="Times New Roman" w:hAnsi="Times New Roman" w:cs="Times New Roman"/>
                <w:sz w:val="20"/>
                <w:szCs w:val="20"/>
              </w:rPr>
              <w:t>5</w:t>
            </w:r>
            <w:r>
              <w:rPr>
                <w:rFonts w:ascii="仿宋_GB2312" w:eastAsia="仿宋_GB2312" w:hint="eastAsia"/>
                <w:sz w:val="20"/>
                <w:szCs w:val="20"/>
              </w:rPr>
              <w:t>家。</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1005"/>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对当年度以本县企业为主体获得国家科学技术奖特等奖、一等奖、二等奖的主要完成单位，分别奖励</w:t>
            </w:r>
            <w:r>
              <w:rPr>
                <w:rFonts w:ascii="Times New Roman" w:hAnsi="Times New Roman" w:cs="Times New Roman"/>
                <w:sz w:val="20"/>
                <w:szCs w:val="20"/>
              </w:rPr>
              <w:t>100</w:t>
            </w:r>
            <w:r>
              <w:rPr>
                <w:rFonts w:ascii="仿宋_GB2312" w:eastAsia="仿宋_GB2312" w:hint="eastAsia"/>
                <w:sz w:val="20"/>
                <w:szCs w:val="20"/>
              </w:rPr>
              <w:t>万元、</w:t>
            </w:r>
            <w:r>
              <w:rPr>
                <w:rFonts w:ascii="Times New Roman" w:hAnsi="Times New Roman" w:cs="Times New Roman"/>
                <w:sz w:val="20"/>
                <w:szCs w:val="20"/>
              </w:rPr>
              <w:t>50</w:t>
            </w:r>
            <w:r>
              <w:rPr>
                <w:rFonts w:ascii="仿宋_GB2312" w:eastAsia="仿宋_GB2312" w:hint="eastAsia"/>
                <w:sz w:val="20"/>
                <w:szCs w:val="20"/>
              </w:rPr>
              <w:t>万元、</w:t>
            </w:r>
            <w:r>
              <w:rPr>
                <w:rFonts w:ascii="Times New Roman" w:hAnsi="Times New Roman" w:cs="Times New Roman"/>
                <w:sz w:val="20"/>
                <w:szCs w:val="20"/>
              </w:rPr>
              <w:t>30</w:t>
            </w:r>
            <w:r>
              <w:rPr>
                <w:rFonts w:ascii="仿宋_GB2312" w:eastAsia="仿宋_GB2312" w:hint="eastAsia"/>
                <w:sz w:val="20"/>
                <w:szCs w:val="20"/>
              </w:rPr>
              <w:t>万元；对当年度获得江苏省科学技术奖一等奖、二等奖、三等奖的主要完成单位，分别奖励</w:t>
            </w:r>
            <w:r>
              <w:rPr>
                <w:rFonts w:ascii="Times New Roman" w:hAnsi="Times New Roman" w:cs="Times New Roman"/>
                <w:sz w:val="20"/>
                <w:szCs w:val="20"/>
              </w:rPr>
              <w:t>50</w:t>
            </w:r>
            <w:r>
              <w:rPr>
                <w:rFonts w:ascii="仿宋_GB2312" w:eastAsia="仿宋_GB2312" w:hint="eastAsia"/>
                <w:sz w:val="20"/>
                <w:szCs w:val="20"/>
              </w:rPr>
              <w:t>万元、</w:t>
            </w:r>
            <w:r>
              <w:rPr>
                <w:rFonts w:ascii="Times New Roman" w:hAnsi="Times New Roman" w:cs="Times New Roman"/>
                <w:sz w:val="20"/>
                <w:szCs w:val="20"/>
              </w:rPr>
              <w:t>20</w:t>
            </w:r>
            <w:r>
              <w:rPr>
                <w:rFonts w:ascii="仿宋_GB2312" w:eastAsia="仿宋_GB2312" w:hint="eastAsia"/>
                <w:sz w:val="20"/>
                <w:szCs w:val="20"/>
              </w:rPr>
              <w:t>万元、</w:t>
            </w:r>
            <w:r>
              <w:rPr>
                <w:rFonts w:ascii="Times New Roman" w:hAnsi="Times New Roman" w:cs="Times New Roman"/>
                <w:sz w:val="20"/>
                <w:szCs w:val="20"/>
              </w:rPr>
              <w:t>10</w:t>
            </w:r>
            <w:r>
              <w:rPr>
                <w:rFonts w:ascii="仿宋_GB2312" w:eastAsia="仿宋_GB2312" w:hint="eastAsia"/>
                <w:sz w:val="20"/>
                <w:szCs w:val="20"/>
              </w:rPr>
              <w:t>万元。</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660"/>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对当年新认定的国家级高新技术企业给予一次性奖励</w:t>
            </w:r>
            <w:r>
              <w:rPr>
                <w:rFonts w:ascii="Times New Roman" w:hAnsi="Times New Roman" w:cs="Times New Roman"/>
                <w:sz w:val="20"/>
                <w:szCs w:val="20"/>
              </w:rPr>
              <w:t>10</w:t>
            </w:r>
            <w:r>
              <w:rPr>
                <w:rFonts w:ascii="仿宋_GB2312" w:eastAsia="仿宋_GB2312" w:hint="eastAsia"/>
                <w:sz w:val="20"/>
                <w:szCs w:val="20"/>
              </w:rPr>
              <w:t>万元。</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1350"/>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8</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支持企业知识产权创建</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对当年度企业申请并获批、授权国内发明专利的单位，分别给予每件最高</w:t>
            </w:r>
            <w:r>
              <w:rPr>
                <w:rFonts w:ascii="Times New Roman" w:hAnsi="Times New Roman" w:cs="Times New Roman"/>
                <w:sz w:val="20"/>
                <w:szCs w:val="20"/>
              </w:rPr>
              <w:t>0.5</w:t>
            </w:r>
            <w:r>
              <w:rPr>
                <w:rFonts w:ascii="仿宋_GB2312" w:eastAsia="仿宋_GB2312" w:hint="eastAsia"/>
                <w:sz w:val="20"/>
                <w:szCs w:val="20"/>
              </w:rPr>
              <w:t>万元、</w:t>
            </w:r>
            <w:r>
              <w:rPr>
                <w:rFonts w:ascii="Times New Roman" w:hAnsi="Times New Roman" w:cs="Times New Roman"/>
                <w:sz w:val="20"/>
                <w:szCs w:val="20"/>
              </w:rPr>
              <w:t>0.3</w:t>
            </w:r>
            <w:r>
              <w:rPr>
                <w:rFonts w:ascii="仿宋_GB2312" w:eastAsia="仿宋_GB2312" w:hint="eastAsia"/>
                <w:sz w:val="20"/>
                <w:szCs w:val="20"/>
              </w:rPr>
              <w:t>万元的资助；对当年申请、授权实用新型专利的给予每件</w:t>
            </w:r>
            <w:r>
              <w:rPr>
                <w:rFonts w:ascii="Times New Roman" w:hAnsi="Times New Roman" w:cs="Times New Roman"/>
                <w:sz w:val="20"/>
                <w:szCs w:val="20"/>
              </w:rPr>
              <w:t>0.18</w:t>
            </w:r>
            <w:r>
              <w:rPr>
                <w:rFonts w:ascii="仿宋_GB2312" w:eastAsia="仿宋_GB2312" w:hint="eastAsia"/>
                <w:sz w:val="20"/>
                <w:szCs w:val="20"/>
              </w:rPr>
              <w:t>万元的资助；对当年申请授权外观专利的给予每件</w:t>
            </w:r>
            <w:r>
              <w:rPr>
                <w:rFonts w:ascii="Times New Roman" w:hAnsi="Times New Roman" w:cs="Times New Roman"/>
                <w:sz w:val="20"/>
                <w:szCs w:val="20"/>
              </w:rPr>
              <w:t>0.08</w:t>
            </w:r>
            <w:r>
              <w:rPr>
                <w:rFonts w:ascii="仿宋_GB2312" w:eastAsia="仿宋_GB2312" w:hint="eastAsia"/>
                <w:sz w:val="20"/>
                <w:szCs w:val="20"/>
              </w:rPr>
              <w:t>万元的资助。对当年度获得国家专利金奖、优秀奖的单位分别奖励</w:t>
            </w:r>
            <w:r>
              <w:rPr>
                <w:rFonts w:ascii="Times New Roman" w:hAnsi="Times New Roman" w:cs="Times New Roman"/>
                <w:sz w:val="20"/>
                <w:szCs w:val="20"/>
              </w:rPr>
              <w:t>30</w:t>
            </w:r>
            <w:r>
              <w:rPr>
                <w:rFonts w:ascii="仿宋_GB2312" w:eastAsia="仿宋_GB2312" w:hint="eastAsia"/>
                <w:sz w:val="20"/>
                <w:szCs w:val="20"/>
              </w:rPr>
              <w:t>万元、</w:t>
            </w:r>
            <w:r>
              <w:rPr>
                <w:rFonts w:ascii="Times New Roman" w:hAnsi="Times New Roman" w:cs="Times New Roman"/>
                <w:sz w:val="20"/>
                <w:szCs w:val="20"/>
              </w:rPr>
              <w:t>10</w:t>
            </w:r>
            <w:r>
              <w:rPr>
                <w:rFonts w:ascii="仿宋_GB2312" w:eastAsia="仿宋_GB2312" w:hint="eastAsia"/>
                <w:sz w:val="20"/>
                <w:szCs w:val="20"/>
              </w:rPr>
              <w:t>万元；对当年度获得省级专利金奖、优秀奖的单位分别奖励</w:t>
            </w:r>
            <w:r>
              <w:rPr>
                <w:rFonts w:ascii="Times New Roman" w:hAnsi="Times New Roman" w:cs="Times New Roman"/>
                <w:sz w:val="20"/>
                <w:szCs w:val="20"/>
              </w:rPr>
              <w:t>10</w:t>
            </w:r>
            <w:r>
              <w:rPr>
                <w:rFonts w:ascii="仿宋_GB2312" w:eastAsia="仿宋_GB2312" w:hint="eastAsia"/>
                <w:sz w:val="20"/>
                <w:szCs w:val="20"/>
              </w:rPr>
              <w:t>万元、</w:t>
            </w:r>
            <w:r>
              <w:rPr>
                <w:rFonts w:ascii="Times New Roman" w:hAnsi="Times New Roman" w:cs="Times New Roman"/>
                <w:sz w:val="20"/>
                <w:szCs w:val="20"/>
              </w:rPr>
              <w:t>5</w:t>
            </w:r>
            <w:r>
              <w:rPr>
                <w:rFonts w:ascii="仿宋_GB2312" w:eastAsia="仿宋_GB2312" w:hint="eastAsia"/>
                <w:sz w:val="20"/>
                <w:szCs w:val="20"/>
              </w:rPr>
              <w:t>万元。</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615"/>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9</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推动重大技术攻关</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对当年度县级重大技术攻关专项工程中标单位给予</w:t>
            </w:r>
            <w:r>
              <w:rPr>
                <w:rFonts w:ascii="Times New Roman" w:hAnsi="Times New Roman" w:cs="Times New Roman"/>
                <w:sz w:val="20"/>
                <w:szCs w:val="20"/>
              </w:rPr>
              <w:t>20</w:t>
            </w:r>
            <w:r>
              <w:rPr>
                <w:rFonts w:ascii="仿宋_GB2312" w:eastAsia="仿宋_GB2312" w:hint="eastAsia"/>
                <w:sz w:val="20"/>
                <w:szCs w:val="20"/>
              </w:rPr>
              <w:t>万元支持。</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1200"/>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10</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支持制造业与互联网融合发展</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对企业实施制造业与互联网提升和大数据平台建设项目，且项目周期内软、硬件和相关设施设备投入</w:t>
            </w:r>
            <w:r>
              <w:rPr>
                <w:rFonts w:ascii="Times New Roman" w:hAnsi="Times New Roman" w:cs="Times New Roman"/>
                <w:sz w:val="20"/>
                <w:szCs w:val="20"/>
              </w:rPr>
              <w:t>300</w:t>
            </w:r>
            <w:r>
              <w:rPr>
                <w:rFonts w:ascii="仿宋_GB2312" w:eastAsia="仿宋_GB2312" w:hint="eastAsia"/>
                <w:sz w:val="20"/>
                <w:szCs w:val="20"/>
              </w:rPr>
              <w:t>万元（含）</w:t>
            </w:r>
            <w:r>
              <w:rPr>
                <w:rFonts w:ascii="Times New Roman" w:hAnsi="Times New Roman" w:cs="Times New Roman"/>
                <w:sz w:val="20"/>
                <w:szCs w:val="20"/>
              </w:rPr>
              <w:t>-500</w:t>
            </w:r>
            <w:r>
              <w:rPr>
                <w:rFonts w:ascii="仿宋_GB2312" w:eastAsia="仿宋_GB2312" w:hint="eastAsia"/>
                <w:sz w:val="20"/>
                <w:szCs w:val="20"/>
              </w:rPr>
              <w:t>万元的，按投入的</w:t>
            </w:r>
            <w:r>
              <w:rPr>
                <w:rFonts w:ascii="Times New Roman" w:hAnsi="Times New Roman" w:cs="Times New Roman"/>
                <w:sz w:val="20"/>
                <w:szCs w:val="20"/>
              </w:rPr>
              <w:t>6%</w:t>
            </w:r>
            <w:r>
              <w:rPr>
                <w:rFonts w:ascii="仿宋_GB2312" w:eastAsia="仿宋_GB2312" w:hint="eastAsia"/>
                <w:sz w:val="20"/>
                <w:szCs w:val="20"/>
              </w:rPr>
              <w:t>给予奖励；</w:t>
            </w:r>
            <w:r>
              <w:rPr>
                <w:rFonts w:ascii="Times New Roman" w:hAnsi="Times New Roman" w:cs="Times New Roman"/>
                <w:sz w:val="20"/>
                <w:szCs w:val="20"/>
              </w:rPr>
              <w:t>500</w:t>
            </w:r>
            <w:r>
              <w:rPr>
                <w:rFonts w:ascii="仿宋_GB2312" w:eastAsia="仿宋_GB2312" w:hint="eastAsia"/>
                <w:sz w:val="20"/>
                <w:szCs w:val="20"/>
              </w:rPr>
              <w:t>万元（含）</w:t>
            </w:r>
            <w:r>
              <w:rPr>
                <w:rFonts w:ascii="Times New Roman" w:hAnsi="Times New Roman" w:cs="Times New Roman"/>
                <w:sz w:val="20"/>
                <w:szCs w:val="20"/>
              </w:rPr>
              <w:t>-1000</w:t>
            </w:r>
            <w:r>
              <w:rPr>
                <w:rFonts w:ascii="仿宋_GB2312" w:eastAsia="仿宋_GB2312" w:hint="eastAsia"/>
                <w:sz w:val="20"/>
                <w:szCs w:val="20"/>
              </w:rPr>
              <w:t>万元的，按投入的</w:t>
            </w:r>
            <w:r>
              <w:rPr>
                <w:rFonts w:ascii="Times New Roman" w:hAnsi="Times New Roman" w:cs="Times New Roman"/>
                <w:sz w:val="20"/>
                <w:szCs w:val="20"/>
              </w:rPr>
              <w:t>8%</w:t>
            </w:r>
            <w:r>
              <w:rPr>
                <w:rFonts w:ascii="仿宋_GB2312" w:eastAsia="仿宋_GB2312" w:hint="eastAsia"/>
                <w:sz w:val="20"/>
                <w:szCs w:val="20"/>
              </w:rPr>
              <w:t>给予奖励；</w:t>
            </w:r>
            <w:r>
              <w:rPr>
                <w:rFonts w:ascii="Times New Roman" w:hAnsi="Times New Roman" w:cs="Times New Roman"/>
                <w:sz w:val="20"/>
                <w:szCs w:val="20"/>
              </w:rPr>
              <w:t>1000</w:t>
            </w:r>
            <w:r>
              <w:rPr>
                <w:rFonts w:ascii="仿宋_GB2312" w:eastAsia="仿宋_GB2312" w:hint="eastAsia"/>
                <w:sz w:val="20"/>
                <w:szCs w:val="20"/>
              </w:rPr>
              <w:t>万元（含）以上的，按投入的</w:t>
            </w:r>
            <w:r>
              <w:rPr>
                <w:rFonts w:ascii="Times New Roman" w:hAnsi="Times New Roman" w:cs="Times New Roman"/>
                <w:sz w:val="20"/>
                <w:szCs w:val="20"/>
              </w:rPr>
              <w:t>10%</w:t>
            </w:r>
            <w:r>
              <w:rPr>
                <w:rFonts w:ascii="仿宋_GB2312" w:eastAsia="仿宋_GB2312" w:hint="eastAsia"/>
                <w:sz w:val="20"/>
                <w:szCs w:val="20"/>
              </w:rPr>
              <w:t>给予奖励。</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150" w:beforeAutospacing="0" w:after="150" w:afterAutospacing="0"/>
              <w:jc w:val="center"/>
            </w:pPr>
            <w:r>
              <w:t> </w:t>
            </w:r>
          </w:p>
        </w:tc>
        <w:tc>
          <w:tcPr>
            <w:tcW w:w="198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w:t>
            </w:r>
            <w:r>
              <w:rPr>
                <w:rFonts w:ascii="Times New Roman" w:hAnsi="Times New Roman" w:cs="Times New Roman"/>
                <w:sz w:val="20"/>
                <w:szCs w:val="20"/>
              </w:rPr>
              <w:t>“</w:t>
            </w:r>
            <w:r>
              <w:rPr>
                <w:rFonts w:ascii="仿宋_GB2312" w:eastAsia="仿宋_GB2312" w:hint="eastAsia"/>
                <w:sz w:val="20"/>
                <w:szCs w:val="20"/>
              </w:rPr>
              <w:t>互联网</w:t>
            </w:r>
            <w:r>
              <w:rPr>
                <w:rFonts w:ascii="Times New Roman" w:hAnsi="Times New Roman" w:cs="Times New Roman"/>
                <w:sz w:val="20"/>
                <w:szCs w:val="20"/>
              </w:rPr>
              <w:t>+”</w:t>
            </w:r>
            <w:r>
              <w:rPr>
                <w:rFonts w:ascii="仿宋_GB2312" w:eastAsia="仿宋_GB2312" w:hint="eastAsia"/>
                <w:sz w:val="20"/>
                <w:szCs w:val="20"/>
              </w:rPr>
              <w:t>发展</w:t>
            </w:r>
          </w:p>
        </w:tc>
      </w:tr>
      <w:tr w:rsidR="00DF4570" w:rsidTr="00DF4570">
        <w:trPr>
          <w:trHeight w:val="855"/>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lastRenderedPageBreak/>
              <w:t>11</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支持企业两化融合</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对获得国家、省批准的两化融合示范企业，分别奖励</w:t>
            </w:r>
            <w:r>
              <w:rPr>
                <w:rFonts w:ascii="Times New Roman" w:hAnsi="Times New Roman" w:cs="Times New Roman"/>
                <w:sz w:val="20"/>
                <w:szCs w:val="20"/>
              </w:rPr>
              <w:t>20</w:t>
            </w:r>
            <w:r>
              <w:rPr>
                <w:rFonts w:ascii="仿宋_GB2312" w:eastAsia="仿宋_GB2312" w:hint="eastAsia"/>
                <w:sz w:val="20"/>
                <w:szCs w:val="20"/>
              </w:rPr>
              <w:t>万元、</w:t>
            </w:r>
            <w:r>
              <w:rPr>
                <w:rFonts w:ascii="Times New Roman" w:hAnsi="Times New Roman" w:cs="Times New Roman"/>
                <w:sz w:val="20"/>
                <w:szCs w:val="20"/>
              </w:rPr>
              <w:t>15</w:t>
            </w:r>
            <w:r>
              <w:rPr>
                <w:rFonts w:ascii="仿宋_GB2312" w:eastAsia="仿宋_GB2312" w:hint="eastAsia"/>
                <w:sz w:val="20"/>
                <w:szCs w:val="20"/>
              </w:rPr>
              <w:t>万元；对获得省批准的两化融合试点企业，奖励</w:t>
            </w:r>
            <w:r>
              <w:rPr>
                <w:rFonts w:ascii="Times New Roman" w:hAnsi="Times New Roman" w:cs="Times New Roman"/>
                <w:sz w:val="20"/>
                <w:szCs w:val="20"/>
              </w:rPr>
              <w:t>5</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50</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1785"/>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12</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引导服务型制造加速转型</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对当年列为省级及以上服务型制造示范（培育）企业（项目）、工业设计企业，近两年有项目投入且实现销售收益的，分档进行奖励：项目投入达到</w:t>
            </w:r>
            <w:r>
              <w:rPr>
                <w:rFonts w:ascii="Times New Roman" w:hAnsi="Times New Roman" w:cs="Times New Roman"/>
                <w:sz w:val="20"/>
                <w:szCs w:val="20"/>
              </w:rPr>
              <w:t>200</w:t>
            </w:r>
            <w:r>
              <w:rPr>
                <w:rFonts w:ascii="仿宋_GB2312" w:eastAsia="仿宋_GB2312" w:hint="eastAsia"/>
                <w:sz w:val="20"/>
                <w:szCs w:val="20"/>
              </w:rPr>
              <w:t>万元（含）的，给予</w:t>
            </w:r>
            <w:r>
              <w:rPr>
                <w:rFonts w:ascii="Times New Roman" w:hAnsi="Times New Roman" w:cs="Times New Roman"/>
                <w:sz w:val="20"/>
                <w:szCs w:val="20"/>
              </w:rPr>
              <w:t>20</w:t>
            </w:r>
            <w:r>
              <w:rPr>
                <w:rFonts w:ascii="仿宋_GB2312" w:eastAsia="仿宋_GB2312" w:hint="eastAsia"/>
                <w:sz w:val="20"/>
                <w:szCs w:val="20"/>
              </w:rPr>
              <w:t>万元奖励；项目投入达到</w:t>
            </w:r>
            <w:r>
              <w:rPr>
                <w:rFonts w:ascii="Times New Roman" w:hAnsi="Times New Roman" w:cs="Times New Roman"/>
                <w:sz w:val="20"/>
                <w:szCs w:val="20"/>
              </w:rPr>
              <w:t>200-500</w:t>
            </w:r>
            <w:r>
              <w:rPr>
                <w:rFonts w:ascii="仿宋_GB2312" w:eastAsia="仿宋_GB2312" w:hint="eastAsia"/>
                <w:sz w:val="20"/>
                <w:szCs w:val="20"/>
              </w:rPr>
              <w:t>万元（含）的，超出</w:t>
            </w:r>
            <w:r>
              <w:rPr>
                <w:rFonts w:ascii="Times New Roman" w:hAnsi="Times New Roman" w:cs="Times New Roman"/>
                <w:sz w:val="20"/>
                <w:szCs w:val="20"/>
              </w:rPr>
              <w:t>200</w:t>
            </w:r>
            <w:r>
              <w:rPr>
                <w:rFonts w:ascii="仿宋_GB2312" w:eastAsia="仿宋_GB2312" w:hint="eastAsia"/>
                <w:sz w:val="20"/>
                <w:szCs w:val="20"/>
              </w:rPr>
              <w:t>万元部分按最高</w:t>
            </w:r>
            <w:r>
              <w:rPr>
                <w:rFonts w:ascii="Times New Roman" w:hAnsi="Times New Roman" w:cs="Times New Roman"/>
                <w:sz w:val="20"/>
                <w:szCs w:val="20"/>
              </w:rPr>
              <w:t>4%</w:t>
            </w:r>
            <w:r>
              <w:rPr>
                <w:rFonts w:ascii="仿宋_GB2312" w:eastAsia="仿宋_GB2312" w:hint="eastAsia"/>
                <w:sz w:val="20"/>
                <w:szCs w:val="20"/>
              </w:rPr>
              <w:t>的比例给予奖励；项目投入超过</w:t>
            </w:r>
            <w:r>
              <w:rPr>
                <w:rFonts w:ascii="Times New Roman" w:hAnsi="Times New Roman" w:cs="Times New Roman"/>
                <w:sz w:val="20"/>
                <w:szCs w:val="20"/>
              </w:rPr>
              <w:t>500</w:t>
            </w:r>
            <w:r>
              <w:rPr>
                <w:rFonts w:ascii="仿宋_GB2312" w:eastAsia="仿宋_GB2312" w:hint="eastAsia"/>
                <w:sz w:val="20"/>
                <w:szCs w:val="20"/>
              </w:rPr>
              <w:t>万元的，超出</w:t>
            </w:r>
            <w:r>
              <w:rPr>
                <w:rFonts w:ascii="Times New Roman" w:hAnsi="Times New Roman" w:cs="Times New Roman"/>
                <w:sz w:val="20"/>
                <w:szCs w:val="20"/>
              </w:rPr>
              <w:t>500</w:t>
            </w:r>
            <w:r>
              <w:rPr>
                <w:rFonts w:ascii="仿宋_GB2312" w:eastAsia="仿宋_GB2312" w:hint="eastAsia"/>
                <w:sz w:val="20"/>
                <w:szCs w:val="20"/>
              </w:rPr>
              <w:t>万元部分按最高</w:t>
            </w:r>
            <w:r>
              <w:rPr>
                <w:rFonts w:ascii="Times New Roman" w:hAnsi="Times New Roman" w:cs="Times New Roman"/>
                <w:sz w:val="20"/>
                <w:szCs w:val="20"/>
              </w:rPr>
              <w:t>2%</w:t>
            </w:r>
            <w:r>
              <w:rPr>
                <w:rFonts w:ascii="仿宋_GB2312" w:eastAsia="仿宋_GB2312" w:hint="eastAsia"/>
                <w:sz w:val="20"/>
                <w:szCs w:val="20"/>
              </w:rPr>
              <w:t>的比例给予奖励。单个企业（同一项目）最高奖励不超过</w:t>
            </w:r>
            <w:r>
              <w:rPr>
                <w:rFonts w:ascii="Times New Roman" w:hAnsi="Times New Roman" w:cs="Times New Roman"/>
                <w:sz w:val="20"/>
                <w:szCs w:val="20"/>
              </w:rPr>
              <w:t>50</w:t>
            </w:r>
            <w:r>
              <w:rPr>
                <w:rFonts w:ascii="仿宋_GB2312" w:eastAsia="仿宋_GB2312" w:hint="eastAsia"/>
                <w:sz w:val="20"/>
                <w:szCs w:val="20"/>
              </w:rPr>
              <w:t>万元。以上奖励事项共限额</w:t>
            </w:r>
            <w:r>
              <w:rPr>
                <w:rFonts w:ascii="Times New Roman" w:hAnsi="Times New Roman" w:cs="Times New Roman"/>
                <w:sz w:val="20"/>
                <w:szCs w:val="20"/>
              </w:rPr>
              <w:t>30</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30</w:t>
            </w:r>
          </w:p>
        </w:tc>
        <w:tc>
          <w:tcPr>
            <w:tcW w:w="198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支持服务业发展</w:t>
            </w:r>
          </w:p>
        </w:tc>
      </w:tr>
      <w:tr w:rsidR="00DF4570" w:rsidTr="00DF4570">
        <w:trPr>
          <w:trHeight w:val="1200"/>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13</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支持节能降耗改造</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对企业当年度内建设完成，年节能量</w:t>
            </w:r>
            <w:r>
              <w:rPr>
                <w:rFonts w:ascii="Times New Roman" w:hAnsi="Times New Roman" w:cs="Times New Roman"/>
                <w:sz w:val="20"/>
                <w:szCs w:val="20"/>
              </w:rPr>
              <w:t>300</w:t>
            </w:r>
            <w:r>
              <w:rPr>
                <w:rFonts w:ascii="仿宋_GB2312" w:eastAsia="仿宋_GB2312" w:hint="eastAsia"/>
                <w:sz w:val="20"/>
                <w:szCs w:val="20"/>
              </w:rPr>
              <w:t>吨标准煤以上的节能改造项目进行奖励。经审核验收，年节能</w:t>
            </w:r>
            <w:r>
              <w:rPr>
                <w:rFonts w:ascii="Times New Roman" w:hAnsi="Times New Roman" w:cs="Times New Roman"/>
                <w:sz w:val="20"/>
                <w:szCs w:val="20"/>
              </w:rPr>
              <w:t>300</w:t>
            </w:r>
            <w:r>
              <w:rPr>
                <w:rFonts w:ascii="仿宋_GB2312" w:eastAsia="仿宋_GB2312" w:hint="eastAsia"/>
                <w:sz w:val="20"/>
                <w:szCs w:val="20"/>
              </w:rPr>
              <w:t>吨（含）</w:t>
            </w:r>
            <w:r>
              <w:rPr>
                <w:rFonts w:ascii="Times New Roman" w:hAnsi="Times New Roman" w:cs="Times New Roman"/>
                <w:sz w:val="20"/>
                <w:szCs w:val="20"/>
              </w:rPr>
              <w:t>-500</w:t>
            </w:r>
            <w:r>
              <w:rPr>
                <w:rFonts w:ascii="仿宋_GB2312" w:eastAsia="仿宋_GB2312" w:hint="eastAsia"/>
                <w:sz w:val="20"/>
                <w:szCs w:val="20"/>
              </w:rPr>
              <w:t>吨标准煤的项目奖励</w:t>
            </w:r>
            <w:r>
              <w:rPr>
                <w:rFonts w:ascii="Times New Roman" w:hAnsi="Times New Roman" w:cs="Times New Roman"/>
                <w:sz w:val="20"/>
                <w:szCs w:val="20"/>
              </w:rPr>
              <w:t>10</w:t>
            </w:r>
            <w:r>
              <w:rPr>
                <w:rFonts w:ascii="仿宋_GB2312" w:eastAsia="仿宋_GB2312" w:hint="eastAsia"/>
                <w:sz w:val="20"/>
                <w:szCs w:val="20"/>
              </w:rPr>
              <w:t>万元，年节能</w:t>
            </w:r>
            <w:r>
              <w:rPr>
                <w:rFonts w:ascii="Times New Roman" w:hAnsi="Times New Roman" w:cs="Times New Roman"/>
                <w:sz w:val="20"/>
                <w:szCs w:val="20"/>
              </w:rPr>
              <w:t>500</w:t>
            </w:r>
            <w:r>
              <w:rPr>
                <w:rFonts w:ascii="仿宋_GB2312" w:eastAsia="仿宋_GB2312" w:hint="eastAsia"/>
                <w:sz w:val="20"/>
                <w:szCs w:val="20"/>
              </w:rPr>
              <w:t>吨标准煤以上的项目奖励</w:t>
            </w:r>
            <w:r>
              <w:rPr>
                <w:rFonts w:ascii="Times New Roman" w:hAnsi="Times New Roman" w:cs="Times New Roman"/>
                <w:sz w:val="20"/>
                <w:szCs w:val="20"/>
              </w:rPr>
              <w:t>15</w:t>
            </w:r>
            <w:r>
              <w:rPr>
                <w:rFonts w:ascii="仿宋_GB2312" w:eastAsia="仿宋_GB2312" w:hint="eastAsia"/>
                <w:sz w:val="20"/>
                <w:szCs w:val="20"/>
              </w:rPr>
              <w:t>万元。以上奖励事项共限额</w:t>
            </w:r>
            <w:r>
              <w:rPr>
                <w:rFonts w:ascii="Times New Roman" w:hAnsi="Times New Roman" w:cs="Times New Roman"/>
                <w:sz w:val="20"/>
                <w:szCs w:val="20"/>
              </w:rPr>
              <w:t>50</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50</w:t>
            </w:r>
          </w:p>
        </w:tc>
        <w:tc>
          <w:tcPr>
            <w:tcW w:w="198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支持绿色集约发展</w:t>
            </w:r>
          </w:p>
        </w:tc>
      </w:tr>
      <w:tr w:rsidR="00DF4570" w:rsidTr="00DF4570">
        <w:trPr>
          <w:trHeight w:val="1410"/>
        </w:trPr>
        <w:tc>
          <w:tcPr>
            <w:tcW w:w="810" w:type="dxa"/>
            <w:vMerge w:val="restar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14</w:t>
            </w:r>
          </w:p>
        </w:tc>
        <w:tc>
          <w:tcPr>
            <w:tcW w:w="24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支持生态环境保护项目</w:t>
            </w:r>
          </w:p>
          <w:p w:rsidR="00DF4570" w:rsidRDefault="00DF4570">
            <w:pPr>
              <w:pStyle w:val="a3"/>
              <w:spacing w:before="0" w:beforeAutospacing="0" w:after="0" w:afterAutospacing="0"/>
              <w:jc w:val="center"/>
            </w:pPr>
            <w:r>
              <w:rPr>
                <w:rFonts w:ascii="仿宋_GB2312" w:eastAsia="仿宋_GB2312" w:hint="eastAsia"/>
                <w:sz w:val="20"/>
                <w:szCs w:val="20"/>
              </w:rPr>
              <w:t>建设</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为推进</w:t>
            </w:r>
            <w:r>
              <w:rPr>
                <w:rFonts w:ascii="Times New Roman" w:hAnsi="Times New Roman" w:cs="Times New Roman"/>
                <w:sz w:val="20"/>
                <w:szCs w:val="20"/>
              </w:rPr>
              <w:t>“263”</w:t>
            </w:r>
            <w:r>
              <w:rPr>
                <w:rFonts w:ascii="仿宋_GB2312" w:eastAsia="仿宋_GB2312" w:hint="eastAsia"/>
                <w:sz w:val="20"/>
                <w:szCs w:val="20"/>
              </w:rPr>
              <w:t>专项行动，对投资</w:t>
            </w:r>
            <w:r>
              <w:rPr>
                <w:rFonts w:ascii="Times New Roman" w:hAnsi="Times New Roman" w:cs="Times New Roman"/>
                <w:sz w:val="20"/>
                <w:szCs w:val="20"/>
              </w:rPr>
              <w:t>30</w:t>
            </w:r>
            <w:r>
              <w:rPr>
                <w:rFonts w:ascii="仿宋_GB2312" w:eastAsia="仿宋_GB2312" w:hint="eastAsia"/>
                <w:sz w:val="20"/>
                <w:szCs w:val="20"/>
              </w:rPr>
              <w:t>万元（含）</w:t>
            </w:r>
            <w:r>
              <w:rPr>
                <w:rFonts w:ascii="Times New Roman" w:hAnsi="Times New Roman" w:cs="Times New Roman"/>
                <w:sz w:val="20"/>
                <w:szCs w:val="20"/>
              </w:rPr>
              <w:t>-100</w:t>
            </w:r>
            <w:r>
              <w:rPr>
                <w:rFonts w:ascii="仿宋_GB2312" w:eastAsia="仿宋_GB2312" w:hint="eastAsia"/>
                <w:sz w:val="20"/>
                <w:szCs w:val="20"/>
              </w:rPr>
              <w:t>万元的</w:t>
            </w:r>
            <w:r>
              <w:rPr>
                <w:rFonts w:ascii="Times New Roman" w:hAnsi="Times New Roman" w:cs="Times New Roman"/>
                <w:sz w:val="20"/>
                <w:szCs w:val="20"/>
              </w:rPr>
              <w:t>VOCs</w:t>
            </w:r>
            <w:r>
              <w:rPr>
                <w:rFonts w:ascii="仿宋_GB2312" w:eastAsia="仿宋_GB2312" w:hint="eastAsia"/>
                <w:sz w:val="20"/>
                <w:szCs w:val="20"/>
              </w:rPr>
              <w:t>治理工程，给予</w:t>
            </w:r>
            <w:r>
              <w:rPr>
                <w:rFonts w:ascii="Times New Roman" w:hAnsi="Times New Roman" w:cs="Times New Roman"/>
                <w:sz w:val="20"/>
                <w:szCs w:val="20"/>
              </w:rPr>
              <w:t>5</w:t>
            </w:r>
            <w:r>
              <w:rPr>
                <w:rFonts w:ascii="仿宋_GB2312" w:eastAsia="仿宋_GB2312" w:hint="eastAsia"/>
                <w:sz w:val="20"/>
                <w:szCs w:val="20"/>
              </w:rPr>
              <w:t>万元（含）</w:t>
            </w:r>
            <w:r>
              <w:rPr>
                <w:rFonts w:ascii="Times New Roman" w:hAnsi="Times New Roman" w:cs="Times New Roman"/>
                <w:sz w:val="20"/>
                <w:szCs w:val="20"/>
              </w:rPr>
              <w:t>-10</w:t>
            </w:r>
            <w:r>
              <w:rPr>
                <w:rFonts w:ascii="仿宋_GB2312" w:eastAsia="仿宋_GB2312" w:hint="eastAsia"/>
                <w:sz w:val="20"/>
                <w:szCs w:val="20"/>
              </w:rPr>
              <w:t>万元的奖励；对五年内首次开展并通过自愿性清洁生产审核的企业进行奖励，每个企业奖励</w:t>
            </w:r>
            <w:r>
              <w:rPr>
                <w:rFonts w:ascii="Times New Roman" w:hAnsi="Times New Roman" w:cs="Times New Roman"/>
                <w:sz w:val="20"/>
                <w:szCs w:val="20"/>
              </w:rPr>
              <w:t>5</w:t>
            </w:r>
            <w:r>
              <w:rPr>
                <w:rFonts w:ascii="仿宋_GB2312" w:eastAsia="仿宋_GB2312" w:hint="eastAsia"/>
                <w:sz w:val="20"/>
                <w:szCs w:val="20"/>
              </w:rPr>
              <w:t>万元。对已开展过自愿性清洁生产的并且在三年内再次开展并通过自愿性清洁生产审核的企业，奖励</w:t>
            </w:r>
            <w:r>
              <w:rPr>
                <w:rFonts w:ascii="Times New Roman" w:hAnsi="Times New Roman" w:cs="Times New Roman"/>
                <w:sz w:val="20"/>
                <w:szCs w:val="20"/>
              </w:rPr>
              <w:t>4</w:t>
            </w:r>
            <w:r>
              <w:rPr>
                <w:rFonts w:ascii="仿宋_GB2312" w:eastAsia="仿宋_GB2312" w:hint="eastAsia"/>
                <w:sz w:val="20"/>
                <w:szCs w:val="20"/>
              </w:rPr>
              <w:t>万元。以上奖励事项共限额</w:t>
            </w:r>
            <w:r>
              <w:rPr>
                <w:rFonts w:ascii="Times New Roman" w:hAnsi="Times New Roman" w:cs="Times New Roman"/>
                <w:sz w:val="20"/>
                <w:szCs w:val="20"/>
              </w:rPr>
              <w:t>100</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100</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885"/>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大力化解过剩产能、淘汰落后产能，在当年度规定期限内拆除相关设备、生产线并经考核验收合格的企业，给予每个企业</w:t>
            </w:r>
            <w:r>
              <w:rPr>
                <w:rFonts w:ascii="Times New Roman" w:hAnsi="Times New Roman" w:cs="Times New Roman"/>
                <w:sz w:val="20"/>
                <w:szCs w:val="20"/>
              </w:rPr>
              <w:t>10</w:t>
            </w:r>
            <w:r>
              <w:rPr>
                <w:rFonts w:ascii="仿宋_GB2312" w:eastAsia="仿宋_GB2312" w:hint="eastAsia"/>
                <w:sz w:val="20"/>
                <w:szCs w:val="20"/>
              </w:rPr>
              <w:t>万元奖励。以上奖励事项共限额</w:t>
            </w:r>
            <w:r>
              <w:rPr>
                <w:rFonts w:ascii="Times New Roman" w:hAnsi="Times New Roman" w:cs="Times New Roman"/>
                <w:sz w:val="20"/>
                <w:szCs w:val="20"/>
              </w:rPr>
              <w:t>50</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50</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615"/>
        </w:trPr>
        <w:tc>
          <w:tcPr>
            <w:tcW w:w="810" w:type="dxa"/>
            <w:vMerge w:val="restart"/>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15</w:t>
            </w:r>
          </w:p>
        </w:tc>
        <w:tc>
          <w:tcPr>
            <w:tcW w:w="243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支持信用体系建设</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支持企业参与信用建设，对获得省级信用管理示范企业，给予</w:t>
            </w:r>
            <w:r>
              <w:rPr>
                <w:rFonts w:ascii="Times New Roman" w:hAnsi="Times New Roman" w:cs="Times New Roman"/>
                <w:sz w:val="20"/>
                <w:szCs w:val="20"/>
              </w:rPr>
              <w:t>10</w:t>
            </w:r>
            <w:r>
              <w:rPr>
                <w:rFonts w:ascii="仿宋_GB2312" w:eastAsia="仿宋_GB2312" w:hint="eastAsia"/>
                <w:sz w:val="20"/>
                <w:szCs w:val="20"/>
              </w:rPr>
              <w:t>万元的奖励。</w:t>
            </w:r>
          </w:p>
        </w:tc>
        <w:tc>
          <w:tcPr>
            <w:tcW w:w="1140" w:type="dxa"/>
            <w:vMerge w:val="restart"/>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w:t>
            </w:r>
          </w:p>
        </w:tc>
        <w:tc>
          <w:tcPr>
            <w:tcW w:w="1980" w:type="dxa"/>
            <w:vMerge w:val="restart"/>
            <w:tcBorders>
              <w:top w:val="outset" w:sz="6" w:space="0" w:color="F0F0F0"/>
              <w:left w:val="outset" w:sz="6" w:space="0" w:color="F0F0F0"/>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打造企业发展环境</w:t>
            </w:r>
          </w:p>
        </w:tc>
      </w:tr>
      <w:tr w:rsidR="00DF4570" w:rsidTr="00DF4570">
        <w:trPr>
          <w:trHeight w:val="825"/>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对当年度获得国家级</w:t>
            </w:r>
            <w:r>
              <w:rPr>
                <w:rFonts w:ascii="Times New Roman" w:hAnsi="Times New Roman" w:cs="Times New Roman"/>
                <w:sz w:val="20"/>
                <w:szCs w:val="20"/>
              </w:rPr>
              <w:t>“</w:t>
            </w:r>
            <w:r>
              <w:rPr>
                <w:rFonts w:ascii="仿宋_GB2312" w:eastAsia="仿宋_GB2312" w:hint="eastAsia"/>
                <w:sz w:val="20"/>
                <w:szCs w:val="20"/>
              </w:rPr>
              <w:t>守合同，重信用</w:t>
            </w:r>
            <w:r>
              <w:rPr>
                <w:rFonts w:ascii="Times New Roman" w:hAnsi="Times New Roman" w:cs="Times New Roman"/>
                <w:sz w:val="20"/>
                <w:szCs w:val="20"/>
              </w:rPr>
              <w:t>”</w:t>
            </w:r>
            <w:r>
              <w:rPr>
                <w:rFonts w:ascii="仿宋_GB2312" w:eastAsia="仿宋_GB2312" w:hint="eastAsia"/>
                <w:sz w:val="20"/>
                <w:szCs w:val="20"/>
              </w:rPr>
              <w:t>企业，奖励</w:t>
            </w:r>
            <w:r>
              <w:rPr>
                <w:rFonts w:ascii="Times New Roman" w:hAnsi="Times New Roman" w:cs="Times New Roman"/>
                <w:sz w:val="20"/>
                <w:szCs w:val="20"/>
              </w:rPr>
              <w:t>10</w:t>
            </w:r>
            <w:r>
              <w:rPr>
                <w:rFonts w:ascii="仿宋_GB2312" w:eastAsia="仿宋_GB2312" w:hint="eastAsia"/>
                <w:sz w:val="20"/>
                <w:szCs w:val="20"/>
              </w:rPr>
              <w:t>万元；对当年度获得江苏省工业企业质量信用</w:t>
            </w:r>
            <w:r>
              <w:rPr>
                <w:rFonts w:ascii="Times New Roman" w:hAnsi="Times New Roman" w:cs="Times New Roman"/>
                <w:sz w:val="20"/>
                <w:szCs w:val="20"/>
              </w:rPr>
              <w:t>AA</w:t>
            </w:r>
            <w:r>
              <w:rPr>
                <w:rFonts w:ascii="仿宋_GB2312" w:eastAsia="仿宋_GB2312" w:hint="eastAsia"/>
                <w:sz w:val="20"/>
                <w:szCs w:val="20"/>
              </w:rPr>
              <w:t>级、</w:t>
            </w:r>
            <w:r>
              <w:rPr>
                <w:rFonts w:ascii="Times New Roman" w:hAnsi="Times New Roman" w:cs="Times New Roman"/>
                <w:sz w:val="20"/>
                <w:szCs w:val="20"/>
              </w:rPr>
              <w:t>AAA</w:t>
            </w:r>
            <w:r>
              <w:rPr>
                <w:rFonts w:ascii="仿宋_GB2312" w:eastAsia="仿宋_GB2312" w:hint="eastAsia"/>
                <w:sz w:val="20"/>
                <w:szCs w:val="20"/>
              </w:rPr>
              <w:t>级企业，奖励</w:t>
            </w:r>
            <w:r>
              <w:rPr>
                <w:rFonts w:ascii="Times New Roman" w:hAnsi="Times New Roman" w:cs="Times New Roman"/>
                <w:sz w:val="20"/>
                <w:szCs w:val="20"/>
              </w:rPr>
              <w:t>3</w:t>
            </w:r>
            <w:r>
              <w:rPr>
                <w:rFonts w:ascii="仿宋_GB2312" w:eastAsia="仿宋_GB2312" w:hint="eastAsia"/>
                <w:sz w:val="20"/>
                <w:szCs w:val="20"/>
              </w:rPr>
              <w:t>万元。</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r w:rsidR="00DF4570" w:rsidTr="00DF4570">
        <w:trPr>
          <w:trHeight w:val="1260"/>
        </w:trPr>
        <w:tc>
          <w:tcPr>
            <w:tcW w:w="81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16</w:t>
            </w:r>
          </w:p>
        </w:tc>
        <w:tc>
          <w:tcPr>
            <w:tcW w:w="2430"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支持企业参加各类展会</w:t>
            </w:r>
          </w:p>
        </w:tc>
        <w:tc>
          <w:tcPr>
            <w:tcW w:w="8475" w:type="dxa"/>
            <w:tcBorders>
              <w:top w:val="outset" w:sz="6" w:space="0" w:color="F0F0F0"/>
              <w:left w:val="outset" w:sz="6" w:space="0" w:color="F0F0F0"/>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推动企业参加境内外展博会。对企业参加政府组织的国内综合性展览会（不包括广交会、华交会）、境外</w:t>
            </w:r>
            <w:proofErr w:type="gramStart"/>
            <w:r>
              <w:rPr>
                <w:rFonts w:ascii="仿宋_GB2312" w:eastAsia="仿宋_GB2312" w:hint="eastAsia"/>
                <w:sz w:val="20"/>
                <w:szCs w:val="20"/>
              </w:rPr>
              <w:t>国际展博会</w:t>
            </w:r>
            <w:proofErr w:type="gramEnd"/>
            <w:r>
              <w:rPr>
                <w:rFonts w:ascii="仿宋_GB2312" w:eastAsia="仿宋_GB2312" w:hint="eastAsia"/>
                <w:sz w:val="20"/>
                <w:szCs w:val="20"/>
              </w:rPr>
              <w:t>，给予支持。</w:t>
            </w:r>
            <w:proofErr w:type="gramStart"/>
            <w:r>
              <w:rPr>
                <w:rFonts w:ascii="仿宋_GB2312" w:eastAsia="仿宋_GB2312" w:hint="eastAsia"/>
                <w:sz w:val="20"/>
                <w:szCs w:val="20"/>
              </w:rPr>
              <w:t>国内展博会</w:t>
            </w:r>
            <w:proofErr w:type="gramEnd"/>
            <w:r>
              <w:rPr>
                <w:rFonts w:ascii="仿宋_GB2312" w:eastAsia="仿宋_GB2312" w:hint="eastAsia"/>
                <w:sz w:val="20"/>
                <w:szCs w:val="20"/>
              </w:rPr>
              <w:t>每个摊位奖励</w:t>
            </w:r>
            <w:r>
              <w:rPr>
                <w:rFonts w:ascii="Times New Roman" w:hAnsi="Times New Roman" w:cs="Times New Roman"/>
                <w:sz w:val="20"/>
                <w:szCs w:val="20"/>
              </w:rPr>
              <w:t>4000</w:t>
            </w:r>
            <w:r>
              <w:rPr>
                <w:rFonts w:ascii="仿宋_GB2312" w:eastAsia="仿宋_GB2312" w:hint="eastAsia"/>
                <w:sz w:val="20"/>
                <w:szCs w:val="20"/>
              </w:rPr>
              <w:t>元，</w:t>
            </w:r>
            <w:proofErr w:type="gramStart"/>
            <w:r>
              <w:rPr>
                <w:rFonts w:ascii="仿宋_GB2312" w:eastAsia="仿宋_GB2312" w:hint="eastAsia"/>
                <w:sz w:val="20"/>
                <w:szCs w:val="20"/>
              </w:rPr>
              <w:t>国际展博会</w:t>
            </w:r>
            <w:proofErr w:type="gramEnd"/>
            <w:r>
              <w:rPr>
                <w:rFonts w:ascii="仿宋_GB2312" w:eastAsia="仿宋_GB2312" w:hint="eastAsia"/>
                <w:sz w:val="20"/>
                <w:szCs w:val="20"/>
              </w:rPr>
              <w:t>每个摊位奖励</w:t>
            </w:r>
            <w:r>
              <w:rPr>
                <w:rFonts w:ascii="Times New Roman" w:hAnsi="Times New Roman" w:cs="Times New Roman"/>
                <w:sz w:val="20"/>
                <w:szCs w:val="20"/>
              </w:rPr>
              <w:t>8000</w:t>
            </w:r>
            <w:r>
              <w:rPr>
                <w:rFonts w:ascii="仿宋_GB2312" w:eastAsia="仿宋_GB2312" w:hint="eastAsia"/>
                <w:sz w:val="20"/>
                <w:szCs w:val="20"/>
              </w:rPr>
              <w:t>元。以上奖励事项共限额</w:t>
            </w:r>
            <w:r>
              <w:rPr>
                <w:rFonts w:ascii="Times New Roman" w:hAnsi="Times New Roman" w:cs="Times New Roman"/>
                <w:sz w:val="20"/>
                <w:szCs w:val="20"/>
              </w:rPr>
              <w:t>20</w:t>
            </w:r>
            <w:r>
              <w:rPr>
                <w:rFonts w:ascii="仿宋_GB2312" w:eastAsia="仿宋_GB2312" w:hint="eastAsia"/>
                <w:sz w:val="20"/>
                <w:szCs w:val="20"/>
              </w:rPr>
              <w:t>万元。</w:t>
            </w:r>
          </w:p>
        </w:tc>
        <w:tc>
          <w:tcPr>
            <w:tcW w:w="1140" w:type="dxa"/>
            <w:tcBorders>
              <w:top w:val="outset" w:sz="6" w:space="0" w:color="F0F0F0"/>
              <w:left w:val="outset" w:sz="6" w:space="0" w:color="F0F0F0"/>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F4570" w:rsidRDefault="00DF4570">
            <w:pPr>
              <w:spacing w:beforeAutospacing="1" w:afterAutospacing="1"/>
              <w:rPr>
                <w:rFonts w:ascii="宋体" w:eastAsia="宋体" w:hAnsi="宋体" w:cs="宋体"/>
                <w:sz w:val="24"/>
                <w:szCs w:val="24"/>
              </w:rPr>
            </w:pPr>
          </w:p>
        </w:tc>
      </w:tr>
    </w:tbl>
    <w:p w:rsidR="00DF4570" w:rsidRDefault="00DF4570" w:rsidP="00DF4570">
      <w:pPr>
        <w:pStyle w:val="a3"/>
        <w:spacing w:before="0" w:beforeAutospacing="0" w:after="0" w:afterAutospacing="0" w:line="600" w:lineRule="atLeast"/>
        <w:rPr>
          <w:rFonts w:ascii="微软雅黑" w:eastAsia="微软雅黑" w:hAnsi="微软雅黑"/>
          <w:color w:val="575757"/>
        </w:rPr>
      </w:pPr>
      <w:r>
        <w:rPr>
          <w:rFonts w:ascii="黑体" w:eastAsia="黑体" w:hAnsi="黑体" w:hint="eastAsia"/>
          <w:color w:val="575757"/>
          <w:sz w:val="32"/>
          <w:szCs w:val="32"/>
        </w:rPr>
        <w:t>附件2</w:t>
      </w:r>
    </w:p>
    <w:p w:rsidR="00DF4570" w:rsidRDefault="00DF4570" w:rsidP="00DF4570">
      <w:pPr>
        <w:pStyle w:val="a3"/>
        <w:spacing w:before="0" w:beforeAutospacing="0" w:after="0" w:afterAutospacing="0" w:line="560" w:lineRule="atLeast"/>
        <w:ind w:firstLine="880"/>
        <w:jc w:val="center"/>
        <w:rPr>
          <w:rFonts w:ascii="微软雅黑" w:eastAsia="微软雅黑" w:hAnsi="微软雅黑" w:hint="eastAsia"/>
          <w:color w:val="575757"/>
        </w:rPr>
      </w:pPr>
      <w:r>
        <w:rPr>
          <w:rFonts w:ascii="方正小标宋简体" w:eastAsia="方正小标宋简体" w:hAnsi="微软雅黑" w:hint="eastAsia"/>
          <w:color w:val="575757"/>
          <w:sz w:val="44"/>
          <w:szCs w:val="44"/>
        </w:rPr>
        <w:t>灌云县制造业发展行动计划（2017-2020年）</w:t>
      </w:r>
    </w:p>
    <w:p w:rsidR="00DF4570" w:rsidRDefault="00DF4570" w:rsidP="00DF4570">
      <w:pPr>
        <w:pStyle w:val="a3"/>
        <w:spacing w:before="0" w:beforeAutospacing="0" w:after="0" w:afterAutospacing="0" w:line="400" w:lineRule="atLeast"/>
        <w:jc w:val="right"/>
        <w:rPr>
          <w:rFonts w:ascii="微软雅黑" w:eastAsia="微软雅黑" w:hAnsi="微软雅黑" w:hint="eastAsia"/>
          <w:color w:val="575757"/>
        </w:rPr>
      </w:pPr>
      <w:r>
        <w:rPr>
          <w:rFonts w:ascii="楷体_GB2312" w:eastAsia="楷体_GB2312" w:hAnsi="微软雅黑" w:hint="eastAsia"/>
          <w:color w:val="575757"/>
          <w:sz w:val="28"/>
          <w:szCs w:val="28"/>
        </w:rPr>
        <w:t>单位：万元</w:t>
      </w:r>
    </w:p>
    <w:tbl>
      <w:tblPr>
        <w:tblW w:w="14730" w:type="dxa"/>
        <w:tblInd w:w="87" w:type="dxa"/>
        <w:tblCellMar>
          <w:left w:w="0" w:type="dxa"/>
          <w:right w:w="0" w:type="dxa"/>
        </w:tblCellMar>
        <w:tblLook w:val="04A0" w:firstRow="1" w:lastRow="0" w:firstColumn="1" w:lastColumn="0" w:noHBand="0" w:noVBand="1"/>
      </w:tblPr>
      <w:tblGrid>
        <w:gridCol w:w="1395"/>
        <w:gridCol w:w="420"/>
        <w:gridCol w:w="3900"/>
        <w:gridCol w:w="4605"/>
        <w:gridCol w:w="990"/>
        <w:gridCol w:w="1365"/>
        <w:gridCol w:w="2055"/>
      </w:tblGrid>
      <w:tr w:rsidR="00DF4570" w:rsidTr="00DF4570">
        <w:trPr>
          <w:trHeight w:val="510"/>
          <w:tblHeader/>
        </w:trPr>
        <w:tc>
          <w:tcPr>
            <w:tcW w:w="570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rFonts w:hint="eastAsia"/>
                <w:b/>
                <w:bCs/>
              </w:rPr>
            </w:pPr>
            <w:r>
              <w:rPr>
                <w:rFonts w:ascii="黑体" w:eastAsia="黑体" w:hAnsi="黑体" w:hint="eastAsia"/>
                <w:b/>
                <w:bCs/>
              </w:rPr>
              <w:t>事项名称</w:t>
            </w:r>
          </w:p>
        </w:tc>
        <w:tc>
          <w:tcPr>
            <w:tcW w:w="4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b/>
                <w:bCs/>
              </w:rPr>
            </w:pPr>
            <w:r>
              <w:rPr>
                <w:rFonts w:ascii="黑体" w:eastAsia="黑体" w:hAnsi="黑体" w:hint="eastAsia"/>
                <w:b/>
                <w:bCs/>
              </w:rPr>
              <w:t>工作内容</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b/>
                <w:bCs/>
              </w:rPr>
            </w:pPr>
            <w:r>
              <w:rPr>
                <w:rFonts w:ascii="黑体" w:eastAsia="黑体" w:hAnsi="黑体" w:hint="eastAsia"/>
                <w:b/>
                <w:bCs/>
              </w:rPr>
              <w:t>总投资</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b/>
                <w:bCs/>
              </w:rPr>
            </w:pPr>
            <w:r>
              <w:rPr>
                <w:rFonts w:ascii="黑体" w:eastAsia="黑体" w:hAnsi="黑体" w:hint="eastAsia"/>
                <w:b/>
                <w:bCs/>
              </w:rPr>
              <w:t>时间节点</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rPr>
                <w:b/>
                <w:bCs/>
              </w:rPr>
            </w:pPr>
            <w:r>
              <w:rPr>
                <w:rFonts w:ascii="黑体" w:eastAsia="黑体" w:hAnsi="黑体" w:hint="eastAsia"/>
                <w:b/>
                <w:bCs/>
              </w:rPr>
              <w:t>牵头（责任）单位</w:t>
            </w:r>
          </w:p>
        </w:tc>
      </w:tr>
      <w:tr w:rsidR="00DF4570" w:rsidTr="00DF4570">
        <w:trPr>
          <w:trHeight w:val="345"/>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一、鼓励企业</w:t>
            </w:r>
            <w:proofErr w:type="gramStart"/>
            <w:r>
              <w:rPr>
                <w:rFonts w:ascii="仿宋_GB2312" w:eastAsia="仿宋_GB2312" w:hint="eastAsia"/>
                <w:sz w:val="20"/>
                <w:szCs w:val="20"/>
              </w:rPr>
              <w:t>做优做</w:t>
            </w:r>
            <w:proofErr w:type="gramEnd"/>
            <w:r>
              <w:rPr>
                <w:rFonts w:ascii="仿宋_GB2312" w:eastAsia="仿宋_GB2312" w:hint="eastAsia"/>
                <w:sz w:val="20"/>
                <w:szCs w:val="20"/>
              </w:rPr>
              <w:t>强</w:t>
            </w: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灌云县重点企业规模与效益倍增计划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打造制造业领军企业</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proofErr w:type="gramStart"/>
            <w:r>
              <w:rPr>
                <w:rFonts w:ascii="仿宋_GB2312" w:eastAsia="仿宋_GB2312" w:hint="eastAsia"/>
                <w:sz w:val="20"/>
                <w:szCs w:val="20"/>
              </w:rPr>
              <w:t>发改委</w:t>
            </w:r>
            <w:proofErr w:type="gramEnd"/>
            <w:r>
              <w:rPr>
                <w:rFonts w:ascii="仿宋_GB2312" w:eastAsia="仿宋_GB2312" w:hint="eastAsia"/>
                <w:sz w:val="20"/>
                <w:szCs w:val="20"/>
              </w:rPr>
              <w:t>、经信局</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灌云县专精特新产品和小巨人企业认定</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培育行业单项冠军</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科技局、经信局</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3</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企业增强核心竞争优势行动</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推动企业创新平台建设等</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经信局、科技局</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4</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企业制造装备升级计划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推动企业建设示范智能车间、工厂等</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w:t>
            </w:r>
          </w:p>
        </w:tc>
      </w:tr>
      <w:tr w:rsidR="00DF4570" w:rsidTr="00DF4570">
        <w:trPr>
          <w:trHeight w:val="55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5</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企业互联网化提升计划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推动企业研发设计协同化、生产管控集成化、购销经营平台化、制造服务网络化</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w:t>
            </w:r>
          </w:p>
        </w:tc>
      </w:tr>
      <w:tr w:rsidR="00DF4570" w:rsidTr="00DF4570">
        <w:trPr>
          <w:trHeight w:val="79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6</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发展服务型制造行动</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鼓励企业探索总集成总承包、个性化定制、在线支持服务、全生命周期管理、品牌管理、创意服务、融资租赁服务等业态。</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proofErr w:type="gramStart"/>
            <w:r>
              <w:rPr>
                <w:rFonts w:ascii="仿宋_GB2312" w:eastAsia="仿宋_GB2312" w:hint="eastAsia"/>
                <w:sz w:val="20"/>
                <w:szCs w:val="20"/>
              </w:rPr>
              <w:t>发改委</w:t>
            </w:r>
            <w:proofErr w:type="gramEnd"/>
            <w:r>
              <w:rPr>
                <w:rFonts w:ascii="仿宋_GB2312" w:eastAsia="仿宋_GB2312" w:hint="eastAsia"/>
                <w:sz w:val="20"/>
                <w:szCs w:val="20"/>
              </w:rPr>
              <w:t>、经信局</w:t>
            </w:r>
          </w:p>
        </w:tc>
      </w:tr>
      <w:tr w:rsidR="00DF4570" w:rsidTr="00DF4570">
        <w:trPr>
          <w:trHeight w:val="300"/>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7</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去产能推进计划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贯彻落实省市</w:t>
            </w:r>
            <w:r>
              <w:rPr>
                <w:rFonts w:ascii="Times New Roman" w:hAnsi="Times New Roman" w:cs="Times New Roman"/>
                <w:sz w:val="20"/>
                <w:szCs w:val="20"/>
              </w:rPr>
              <w:t>“</w:t>
            </w:r>
            <w:r>
              <w:rPr>
                <w:rFonts w:ascii="仿宋_GB2312" w:eastAsia="仿宋_GB2312" w:hint="eastAsia"/>
                <w:sz w:val="20"/>
                <w:szCs w:val="20"/>
              </w:rPr>
              <w:t>两减六治三提升</w:t>
            </w:r>
            <w:r>
              <w:rPr>
                <w:rFonts w:ascii="Times New Roman" w:hAnsi="Times New Roman" w:cs="Times New Roman"/>
                <w:sz w:val="20"/>
                <w:szCs w:val="20"/>
              </w:rPr>
              <w:t>”</w:t>
            </w:r>
            <w:r>
              <w:rPr>
                <w:rFonts w:ascii="仿宋_GB2312" w:eastAsia="仿宋_GB2312" w:hint="eastAsia"/>
                <w:sz w:val="20"/>
                <w:szCs w:val="20"/>
              </w:rPr>
              <w:t>、</w:t>
            </w:r>
            <w:r>
              <w:rPr>
                <w:rFonts w:ascii="Times New Roman" w:hAnsi="Times New Roman" w:cs="Times New Roman"/>
                <w:sz w:val="20"/>
                <w:szCs w:val="20"/>
              </w:rPr>
              <w:t>“</w:t>
            </w:r>
            <w:r>
              <w:rPr>
                <w:rFonts w:ascii="仿宋_GB2312" w:eastAsia="仿宋_GB2312" w:hint="eastAsia"/>
                <w:sz w:val="20"/>
                <w:szCs w:val="20"/>
              </w:rPr>
              <w:t>四个一批</w:t>
            </w:r>
            <w:r>
              <w:rPr>
                <w:rFonts w:ascii="Times New Roman" w:hAnsi="Times New Roman" w:cs="Times New Roman"/>
                <w:sz w:val="20"/>
                <w:szCs w:val="20"/>
              </w:rPr>
              <w:t>”</w:t>
            </w:r>
            <w:r>
              <w:rPr>
                <w:rFonts w:ascii="仿宋_GB2312" w:eastAsia="仿宋_GB2312" w:hint="eastAsia"/>
                <w:sz w:val="20"/>
                <w:szCs w:val="20"/>
              </w:rPr>
              <w:t>专项行动方案，推进供给侧结构性改革</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2017-2018</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环保局、经信局</w:t>
            </w:r>
          </w:p>
        </w:tc>
      </w:tr>
      <w:tr w:rsidR="00DF4570" w:rsidTr="00DF4570">
        <w:trPr>
          <w:trHeight w:val="345"/>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二、强化工业载体建设</w:t>
            </w: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8</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灌云县制造业发展规划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编制《灌云县制造业发展规划》</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9</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临港产业区发展规划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修编《临港产业区发展规划》</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临港产业区</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10</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经济开发区发展规划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修编《经济开发区发展规划》</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经济开发区</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11</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乡镇工业集中区发展规划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编制《</w:t>
            </w:r>
            <w:r>
              <w:rPr>
                <w:rFonts w:ascii="Times New Roman" w:hAnsi="Times New Roman" w:cs="Times New Roman"/>
                <w:sz w:val="20"/>
                <w:szCs w:val="20"/>
              </w:rPr>
              <w:t>**</w:t>
            </w:r>
            <w:r>
              <w:rPr>
                <w:rFonts w:ascii="仿宋_GB2312" w:eastAsia="仿宋_GB2312" w:hint="eastAsia"/>
                <w:sz w:val="20"/>
                <w:szCs w:val="20"/>
              </w:rPr>
              <w:t>乡镇工业集中区发展规划》</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各乡镇</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12</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产业园区市场化运营行动</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提升产业园区运营水平，提高运营效益</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2017-2018</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各园区</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Times New Roman" w:hAnsi="Times New Roman" w:cs="Times New Roman"/>
                <w:sz w:val="20"/>
                <w:szCs w:val="20"/>
              </w:rPr>
              <w:t>13</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临港产业区基础设施及物业载体</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根据规划推进基础设施及物业载体建设</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临港产业区</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Times New Roman" w:hAnsi="Times New Roman" w:cs="Times New Roman"/>
                <w:sz w:val="20"/>
                <w:szCs w:val="20"/>
              </w:rPr>
              <w:t>14</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经济开发区基础设施及物业载体</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根据规划推进基础设施及物业载体建设</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经济开发区</w:t>
            </w:r>
          </w:p>
        </w:tc>
      </w:tr>
      <w:tr w:rsidR="00DF4570" w:rsidTr="00DF4570">
        <w:trPr>
          <w:trHeight w:val="34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Times New Roman" w:hAnsi="Times New Roman" w:cs="Times New Roman"/>
                <w:sz w:val="20"/>
                <w:szCs w:val="20"/>
              </w:rPr>
              <w:t>15</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工业集中区基础设施及物业载体</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根据规划推进基础设施及物业载体建设</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各乡镇</w:t>
            </w:r>
          </w:p>
        </w:tc>
      </w:tr>
      <w:tr w:rsidR="00DF4570" w:rsidTr="00DF4570">
        <w:trPr>
          <w:trHeight w:val="615"/>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Times New Roman" w:hAnsi="Times New Roman" w:cs="Times New Roman"/>
                <w:sz w:val="20"/>
                <w:szCs w:val="20"/>
              </w:rPr>
              <w:t>16</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产业绿色低碳循环发展行动</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促进工业能效提升，强化工业污染防治，发展工业循环经济</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经信局、环保局、</w:t>
            </w:r>
          </w:p>
          <w:p w:rsidR="00DF4570" w:rsidRDefault="00DF4570">
            <w:pPr>
              <w:pStyle w:val="a3"/>
              <w:spacing w:before="0" w:beforeAutospacing="0" w:after="0" w:afterAutospacing="0"/>
              <w:jc w:val="center"/>
            </w:pPr>
            <w:r>
              <w:rPr>
                <w:rFonts w:ascii="仿宋_GB2312" w:eastAsia="仿宋_GB2312" w:hint="eastAsia"/>
                <w:sz w:val="20"/>
                <w:szCs w:val="20"/>
              </w:rPr>
              <w:t>各园区</w:t>
            </w:r>
          </w:p>
        </w:tc>
      </w:tr>
      <w:tr w:rsidR="00DF4570" w:rsidTr="00DF4570">
        <w:trPr>
          <w:trHeight w:val="450"/>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三、积极培育产业集群</w:t>
            </w: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17</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灌云县重大技术攻关专项工程</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组织实施县级重大技术攻关</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科技局、经信局</w:t>
            </w:r>
          </w:p>
        </w:tc>
      </w:tr>
      <w:tr w:rsidR="00DF4570" w:rsidTr="00DF4570">
        <w:trPr>
          <w:trHeight w:val="300"/>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Times New Roman" w:hAnsi="Times New Roman" w:cs="Times New Roman"/>
                <w:sz w:val="20"/>
                <w:szCs w:val="20"/>
              </w:rPr>
              <w:t>18</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发展中高端制造业行动</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强化招商引资，发展战略性新兴产业、先进制造业，支持改造提升园区优势传统产业，加快发展现代生产服务业</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proofErr w:type="gramStart"/>
            <w:r>
              <w:rPr>
                <w:rFonts w:ascii="仿宋_GB2312" w:eastAsia="仿宋_GB2312" w:hint="eastAsia"/>
                <w:sz w:val="20"/>
                <w:szCs w:val="20"/>
              </w:rPr>
              <w:t>发改委</w:t>
            </w:r>
            <w:proofErr w:type="gramEnd"/>
            <w:r>
              <w:rPr>
                <w:rFonts w:ascii="仿宋_GB2312" w:eastAsia="仿宋_GB2312" w:hint="eastAsia"/>
                <w:sz w:val="20"/>
                <w:szCs w:val="20"/>
              </w:rPr>
              <w:t>、经信局、</w:t>
            </w:r>
          </w:p>
          <w:p w:rsidR="00DF4570" w:rsidRDefault="00DF4570">
            <w:pPr>
              <w:pStyle w:val="a3"/>
              <w:spacing w:before="0" w:beforeAutospacing="0" w:after="0" w:afterAutospacing="0"/>
              <w:jc w:val="center"/>
            </w:pPr>
            <w:r>
              <w:rPr>
                <w:rFonts w:ascii="仿宋_GB2312" w:eastAsia="仿宋_GB2312" w:hint="eastAsia"/>
                <w:sz w:val="20"/>
                <w:szCs w:val="20"/>
              </w:rPr>
              <w:t>各园区</w:t>
            </w:r>
          </w:p>
        </w:tc>
      </w:tr>
      <w:tr w:rsidR="00DF4570" w:rsidTr="00DF4570">
        <w:trPr>
          <w:trHeight w:val="450"/>
        </w:trPr>
        <w:tc>
          <w:tcPr>
            <w:tcW w:w="0" w:type="auto"/>
            <w:vMerge/>
            <w:tcBorders>
              <w:top w:val="nil"/>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19</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行业质量、技术标准和品牌建设工程</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加强行业质量、技术标准和品牌建设</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市场监管局、经信局</w:t>
            </w:r>
          </w:p>
        </w:tc>
      </w:tr>
      <w:tr w:rsidR="00DF4570" w:rsidTr="00DF4570">
        <w:trPr>
          <w:trHeight w:val="450"/>
        </w:trPr>
        <w:tc>
          <w:tcPr>
            <w:tcW w:w="1395"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四、优化要素资源配置</w:t>
            </w: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江苏省工业用地政策</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落实江苏省工业用地政策</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国土局</w:t>
            </w:r>
          </w:p>
        </w:tc>
      </w:tr>
      <w:tr w:rsidR="00DF4570" w:rsidTr="00DF4570">
        <w:trPr>
          <w:trHeight w:val="450"/>
        </w:trPr>
        <w:tc>
          <w:tcPr>
            <w:tcW w:w="0" w:type="auto"/>
            <w:vMerge/>
            <w:tcBorders>
              <w:top w:val="nil"/>
              <w:left w:val="single" w:sz="8" w:space="0" w:color="auto"/>
              <w:bottom w:val="nil"/>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21</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灌云县工业发展基金</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发起设立灌云县工业发展基金</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3000</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2017-2023</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w:t>
            </w:r>
          </w:p>
        </w:tc>
      </w:tr>
      <w:tr w:rsidR="00DF4570" w:rsidTr="00DF4570">
        <w:trPr>
          <w:trHeight w:val="450"/>
        </w:trPr>
        <w:tc>
          <w:tcPr>
            <w:tcW w:w="0" w:type="auto"/>
            <w:vMerge/>
            <w:tcBorders>
              <w:top w:val="nil"/>
              <w:left w:val="single" w:sz="8" w:space="0" w:color="auto"/>
              <w:bottom w:val="nil"/>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22</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国家税收优惠支持政策</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落实国家税收优惠支持政策</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国税局、地税局</w:t>
            </w:r>
          </w:p>
        </w:tc>
      </w:tr>
      <w:tr w:rsidR="00DF4570" w:rsidTr="00DF4570">
        <w:trPr>
          <w:trHeight w:val="450"/>
        </w:trPr>
        <w:tc>
          <w:tcPr>
            <w:tcW w:w="0" w:type="auto"/>
            <w:vMerge/>
            <w:tcBorders>
              <w:top w:val="nil"/>
              <w:left w:val="single" w:sz="8" w:space="0" w:color="auto"/>
              <w:bottom w:val="nil"/>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23</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产融互动工程</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大力推动产融互动</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经信局、金融办等</w:t>
            </w:r>
          </w:p>
        </w:tc>
      </w:tr>
      <w:tr w:rsidR="00DF4570" w:rsidTr="00DF4570">
        <w:trPr>
          <w:trHeight w:val="300"/>
        </w:trPr>
        <w:tc>
          <w:tcPr>
            <w:tcW w:w="0" w:type="auto"/>
            <w:vMerge/>
            <w:tcBorders>
              <w:top w:val="nil"/>
              <w:left w:val="single" w:sz="8" w:space="0" w:color="auto"/>
              <w:bottom w:val="nil"/>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24</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灌云县制造业领军人才集聚计划</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推动县级制造业领军人才集聚</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组织部、</w:t>
            </w:r>
            <w:proofErr w:type="gramStart"/>
            <w:r>
              <w:rPr>
                <w:rFonts w:ascii="仿宋_GB2312" w:eastAsia="仿宋_GB2312" w:hint="eastAsia"/>
                <w:sz w:val="20"/>
                <w:szCs w:val="20"/>
              </w:rPr>
              <w:t>人社局</w:t>
            </w:r>
            <w:proofErr w:type="gramEnd"/>
            <w:r>
              <w:rPr>
                <w:rFonts w:ascii="仿宋_GB2312" w:eastAsia="仿宋_GB2312" w:hint="eastAsia"/>
                <w:sz w:val="20"/>
                <w:szCs w:val="20"/>
              </w:rPr>
              <w:t>、</w:t>
            </w:r>
          </w:p>
          <w:p w:rsidR="00DF4570" w:rsidRDefault="00DF4570">
            <w:pPr>
              <w:pStyle w:val="a3"/>
              <w:spacing w:before="0" w:beforeAutospacing="0" w:after="0" w:afterAutospacing="0"/>
              <w:jc w:val="center"/>
            </w:pPr>
            <w:r>
              <w:rPr>
                <w:rFonts w:ascii="仿宋_GB2312" w:eastAsia="仿宋_GB2312" w:hint="eastAsia"/>
                <w:sz w:val="20"/>
                <w:szCs w:val="20"/>
              </w:rPr>
              <w:t>经信局</w:t>
            </w:r>
          </w:p>
        </w:tc>
      </w:tr>
      <w:tr w:rsidR="00DF4570" w:rsidTr="00DF4570">
        <w:trPr>
          <w:trHeight w:val="735"/>
        </w:trPr>
        <w:tc>
          <w:tcPr>
            <w:tcW w:w="0" w:type="auto"/>
            <w:vMerge/>
            <w:tcBorders>
              <w:top w:val="nil"/>
              <w:left w:val="single" w:sz="8" w:space="0" w:color="auto"/>
              <w:bottom w:val="nil"/>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25</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制造业知识更新培训专项工程</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实施科技企业家培育、职业经理人培养、经营管理人才素质提升、专业技术人才知识更新培训</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w:t>
            </w:r>
            <w:proofErr w:type="gramStart"/>
            <w:r>
              <w:rPr>
                <w:rFonts w:ascii="仿宋_GB2312" w:eastAsia="仿宋_GB2312" w:hint="eastAsia"/>
                <w:sz w:val="20"/>
                <w:szCs w:val="20"/>
              </w:rPr>
              <w:t>人社局</w:t>
            </w:r>
            <w:proofErr w:type="gramEnd"/>
          </w:p>
        </w:tc>
      </w:tr>
      <w:tr w:rsidR="00DF4570" w:rsidTr="00DF4570">
        <w:trPr>
          <w:trHeight w:val="630"/>
        </w:trPr>
        <w:tc>
          <w:tcPr>
            <w:tcW w:w="0" w:type="auto"/>
            <w:vMerge/>
            <w:tcBorders>
              <w:top w:val="nil"/>
              <w:left w:val="single" w:sz="8" w:space="0" w:color="auto"/>
              <w:bottom w:val="nil"/>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26</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灌云县制造业人才政策</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落实灌云县制造业人才政策</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组织部、</w:t>
            </w:r>
            <w:proofErr w:type="gramStart"/>
            <w:r>
              <w:rPr>
                <w:rFonts w:ascii="仿宋_GB2312" w:eastAsia="仿宋_GB2312" w:hint="eastAsia"/>
                <w:sz w:val="20"/>
                <w:szCs w:val="20"/>
              </w:rPr>
              <w:t>人社局</w:t>
            </w:r>
            <w:proofErr w:type="gramEnd"/>
            <w:r>
              <w:rPr>
                <w:rFonts w:ascii="仿宋_GB2312" w:eastAsia="仿宋_GB2312" w:hint="eastAsia"/>
                <w:sz w:val="20"/>
                <w:szCs w:val="20"/>
              </w:rPr>
              <w:t>、</w:t>
            </w:r>
          </w:p>
          <w:p w:rsidR="00DF4570" w:rsidRDefault="00DF4570">
            <w:pPr>
              <w:pStyle w:val="a3"/>
              <w:spacing w:before="0" w:beforeAutospacing="0" w:after="0" w:afterAutospacing="0"/>
              <w:jc w:val="center"/>
            </w:pPr>
            <w:r>
              <w:rPr>
                <w:rFonts w:ascii="仿宋_GB2312" w:eastAsia="仿宋_GB2312" w:hint="eastAsia"/>
                <w:sz w:val="20"/>
                <w:szCs w:val="20"/>
              </w:rPr>
              <w:t>经信局</w:t>
            </w:r>
          </w:p>
        </w:tc>
      </w:tr>
      <w:tr w:rsidR="00DF4570" w:rsidTr="00DF4570">
        <w:trPr>
          <w:trHeight w:val="450"/>
        </w:trPr>
        <w:tc>
          <w:tcPr>
            <w:tcW w:w="13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五、提升行政服务效能</w:t>
            </w: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27</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企业综合评价制度</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开展企业综合评价加快工业转型升级试点</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经信局、相关部门</w:t>
            </w:r>
          </w:p>
        </w:tc>
      </w:tr>
      <w:tr w:rsidR="00DF4570" w:rsidTr="00DF4570">
        <w:trPr>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28</w:t>
            </w:r>
          </w:p>
        </w:tc>
        <w:tc>
          <w:tcPr>
            <w:tcW w:w="3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市场诚信体系建设工程</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加强市场诚信体系建设，加强诚信政府建设</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市场监管局</w:t>
            </w:r>
          </w:p>
        </w:tc>
      </w:tr>
      <w:tr w:rsidR="00DF4570" w:rsidTr="00DF4570">
        <w:trPr>
          <w:trHeight w:val="7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29</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降低企业运营成本</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进一步降低融资成本、制度性交易成本、用电物流成本等</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经信局、物价局</w:t>
            </w:r>
          </w:p>
        </w:tc>
      </w:tr>
      <w:tr w:rsidR="00DF4570" w:rsidTr="00DF4570">
        <w:trPr>
          <w:trHeight w:val="6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570" w:rsidRDefault="00DF4570">
            <w:pPr>
              <w:rPr>
                <w:rFonts w:ascii="宋体" w:eastAsia="宋体" w:hAnsi="宋体" w:cs="宋体"/>
                <w:sz w:val="24"/>
                <w:szCs w:val="24"/>
              </w:rPr>
            </w:pPr>
          </w:p>
        </w:tc>
        <w:tc>
          <w:tcPr>
            <w:tcW w:w="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30</w:t>
            </w:r>
          </w:p>
        </w:tc>
        <w:tc>
          <w:tcPr>
            <w:tcW w:w="3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灌云制造文化推广行动</w:t>
            </w:r>
          </w:p>
        </w:tc>
        <w:tc>
          <w:tcPr>
            <w:tcW w:w="4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pPr>
            <w:r>
              <w:rPr>
                <w:rFonts w:ascii="仿宋_GB2312" w:eastAsia="仿宋_GB2312" w:hint="eastAsia"/>
                <w:sz w:val="20"/>
                <w:szCs w:val="20"/>
              </w:rPr>
              <w:t>大力弘扬企业家精神、工匠精神、创新精神、诚信精神，表彰和奖励先进</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Times New Roman" w:hAnsi="Times New Roman" w:cs="Times New Roman"/>
                <w:sz w:val="20"/>
                <w:szCs w:val="20"/>
              </w:rPr>
              <w:t>2017-2020</w:t>
            </w:r>
            <w:r>
              <w:rPr>
                <w:rFonts w:ascii="仿宋_GB2312" w:eastAsia="仿宋_GB2312" w:hint="eastAsia"/>
                <w:sz w:val="20"/>
                <w:szCs w:val="20"/>
              </w:rPr>
              <w:t>年</w:t>
            </w:r>
          </w:p>
        </w:tc>
        <w:tc>
          <w:tcPr>
            <w:tcW w:w="2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4570" w:rsidRDefault="00DF4570">
            <w:pPr>
              <w:pStyle w:val="a3"/>
              <w:spacing w:before="0" w:beforeAutospacing="0" w:after="0" w:afterAutospacing="0"/>
              <w:jc w:val="center"/>
            </w:pPr>
            <w:r>
              <w:rPr>
                <w:rFonts w:ascii="仿宋_GB2312" w:eastAsia="仿宋_GB2312" w:hint="eastAsia"/>
                <w:sz w:val="20"/>
                <w:szCs w:val="20"/>
              </w:rPr>
              <w:t>宣传部、经信局</w:t>
            </w:r>
          </w:p>
        </w:tc>
      </w:tr>
    </w:tbl>
    <w:p w:rsidR="00346DEA" w:rsidRPr="00DF4570" w:rsidRDefault="00346DEA" w:rsidP="00DF4570"/>
    <w:sectPr w:rsidR="00346DEA" w:rsidRPr="00DF4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66BB2"/>
    <w:multiLevelType w:val="multilevel"/>
    <w:tmpl w:val="BC60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22F08"/>
    <w:multiLevelType w:val="multilevel"/>
    <w:tmpl w:val="E7A2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E71A5"/>
    <w:multiLevelType w:val="multilevel"/>
    <w:tmpl w:val="1BE0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DE"/>
    <w:rsid w:val="0001112F"/>
    <w:rsid w:val="00014724"/>
    <w:rsid w:val="000709F9"/>
    <w:rsid w:val="000911E7"/>
    <w:rsid w:val="000972B2"/>
    <w:rsid w:val="000B6FDB"/>
    <w:rsid w:val="000C0154"/>
    <w:rsid w:val="000D2F66"/>
    <w:rsid w:val="000E4910"/>
    <w:rsid w:val="00104D84"/>
    <w:rsid w:val="00120D92"/>
    <w:rsid w:val="001450E9"/>
    <w:rsid w:val="00152A91"/>
    <w:rsid w:val="00165E89"/>
    <w:rsid w:val="00184FC1"/>
    <w:rsid w:val="001A7266"/>
    <w:rsid w:val="001C62EA"/>
    <w:rsid w:val="001F12CA"/>
    <w:rsid w:val="002056FC"/>
    <w:rsid w:val="0020621F"/>
    <w:rsid w:val="0022456C"/>
    <w:rsid w:val="002A1828"/>
    <w:rsid w:val="002C083D"/>
    <w:rsid w:val="002C0B07"/>
    <w:rsid w:val="002C3320"/>
    <w:rsid w:val="00332FAB"/>
    <w:rsid w:val="00346DEA"/>
    <w:rsid w:val="00354EA3"/>
    <w:rsid w:val="003A521A"/>
    <w:rsid w:val="00534D8B"/>
    <w:rsid w:val="005E036A"/>
    <w:rsid w:val="00614181"/>
    <w:rsid w:val="006D6DA9"/>
    <w:rsid w:val="00780C4C"/>
    <w:rsid w:val="00786318"/>
    <w:rsid w:val="00886740"/>
    <w:rsid w:val="008A6C12"/>
    <w:rsid w:val="008D09C8"/>
    <w:rsid w:val="008D3EF8"/>
    <w:rsid w:val="00907B10"/>
    <w:rsid w:val="00915D82"/>
    <w:rsid w:val="00923A9D"/>
    <w:rsid w:val="00923F7F"/>
    <w:rsid w:val="0095494B"/>
    <w:rsid w:val="00A25468"/>
    <w:rsid w:val="00AD46E5"/>
    <w:rsid w:val="00B57B17"/>
    <w:rsid w:val="00B74001"/>
    <w:rsid w:val="00C21FDE"/>
    <w:rsid w:val="00C52DC3"/>
    <w:rsid w:val="00C6744C"/>
    <w:rsid w:val="00C91C7B"/>
    <w:rsid w:val="00CB1F0F"/>
    <w:rsid w:val="00D43B44"/>
    <w:rsid w:val="00D924AB"/>
    <w:rsid w:val="00D93384"/>
    <w:rsid w:val="00DC733C"/>
    <w:rsid w:val="00DF4570"/>
    <w:rsid w:val="00EE17FB"/>
    <w:rsid w:val="00EE5FE4"/>
    <w:rsid w:val="00FA4198"/>
    <w:rsid w:val="00FC132E"/>
    <w:rsid w:val="00FC6AA7"/>
    <w:rsid w:val="00FE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40EEF-059B-47DB-9455-A9C38D36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911E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95494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911E7"/>
    <w:rPr>
      <w:rFonts w:ascii="宋体" w:eastAsia="宋体" w:hAnsi="宋体" w:cs="宋体"/>
      <w:b/>
      <w:bCs/>
      <w:kern w:val="36"/>
      <w:sz w:val="48"/>
      <w:szCs w:val="48"/>
    </w:rPr>
  </w:style>
  <w:style w:type="paragraph" w:styleId="a3">
    <w:name w:val="Normal (Web)"/>
    <w:basedOn w:val="a"/>
    <w:uiPriority w:val="99"/>
    <w:semiHidden/>
    <w:unhideWhenUsed/>
    <w:rsid w:val="00C21F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FDE"/>
    <w:rPr>
      <w:b/>
      <w:bCs/>
    </w:rPr>
  </w:style>
  <w:style w:type="paragraph" w:customStyle="1" w:styleId="a5">
    <w:name w:val="a"/>
    <w:basedOn w:val="a"/>
    <w:rsid w:val="00B57B17"/>
    <w:pPr>
      <w:widowControl/>
      <w:spacing w:before="100" w:beforeAutospacing="1" w:after="100" w:afterAutospacing="1"/>
      <w:jc w:val="left"/>
    </w:pPr>
    <w:rPr>
      <w:rFonts w:ascii="宋体" w:eastAsia="宋体" w:hAnsi="宋体" w:cs="宋体"/>
      <w:kern w:val="0"/>
      <w:sz w:val="24"/>
      <w:szCs w:val="24"/>
    </w:rPr>
  </w:style>
  <w:style w:type="character" w:customStyle="1" w:styleId="a10">
    <w:name w:val="a1"/>
    <w:basedOn w:val="a0"/>
    <w:rsid w:val="00B57B17"/>
  </w:style>
  <w:style w:type="character" w:customStyle="1" w:styleId="3Char">
    <w:name w:val="标题 3 Char"/>
    <w:basedOn w:val="a0"/>
    <w:link w:val="3"/>
    <w:uiPriority w:val="9"/>
    <w:semiHidden/>
    <w:rsid w:val="0095494B"/>
    <w:rPr>
      <w:b/>
      <w:bCs/>
      <w:sz w:val="32"/>
      <w:szCs w:val="32"/>
    </w:rPr>
  </w:style>
  <w:style w:type="paragraph" w:customStyle="1" w:styleId="date">
    <w:name w:val="date"/>
    <w:basedOn w:val="a"/>
    <w:rsid w:val="0095494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54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6144">
      <w:bodyDiv w:val="1"/>
      <w:marLeft w:val="0"/>
      <w:marRight w:val="0"/>
      <w:marTop w:val="0"/>
      <w:marBottom w:val="0"/>
      <w:divBdr>
        <w:top w:val="none" w:sz="0" w:space="0" w:color="auto"/>
        <w:left w:val="none" w:sz="0" w:space="0" w:color="auto"/>
        <w:bottom w:val="none" w:sz="0" w:space="0" w:color="auto"/>
        <w:right w:val="none" w:sz="0" w:space="0" w:color="auto"/>
      </w:divBdr>
      <w:divsChild>
        <w:div w:id="2137529399">
          <w:marLeft w:val="150"/>
          <w:marRight w:val="150"/>
          <w:marTop w:val="0"/>
          <w:marBottom w:val="150"/>
          <w:divBdr>
            <w:top w:val="none" w:sz="0" w:space="0" w:color="auto"/>
            <w:left w:val="none" w:sz="0" w:space="0" w:color="auto"/>
            <w:bottom w:val="none" w:sz="0" w:space="0" w:color="auto"/>
            <w:right w:val="none" w:sz="0" w:space="0" w:color="auto"/>
          </w:divBdr>
        </w:div>
        <w:div w:id="1748186159">
          <w:marLeft w:val="0"/>
          <w:marRight w:val="0"/>
          <w:marTop w:val="0"/>
          <w:marBottom w:val="0"/>
          <w:divBdr>
            <w:top w:val="none" w:sz="0" w:space="0" w:color="auto"/>
            <w:left w:val="none" w:sz="0" w:space="0" w:color="auto"/>
            <w:bottom w:val="none" w:sz="0" w:space="0" w:color="auto"/>
            <w:right w:val="none" w:sz="0" w:space="0" w:color="auto"/>
          </w:divBdr>
        </w:div>
      </w:divsChild>
    </w:div>
    <w:div w:id="62069448">
      <w:bodyDiv w:val="1"/>
      <w:marLeft w:val="0"/>
      <w:marRight w:val="0"/>
      <w:marTop w:val="0"/>
      <w:marBottom w:val="0"/>
      <w:divBdr>
        <w:top w:val="none" w:sz="0" w:space="0" w:color="auto"/>
        <w:left w:val="none" w:sz="0" w:space="0" w:color="auto"/>
        <w:bottom w:val="none" w:sz="0" w:space="0" w:color="auto"/>
        <w:right w:val="none" w:sz="0" w:space="0" w:color="auto"/>
      </w:divBdr>
    </w:div>
    <w:div w:id="179247450">
      <w:bodyDiv w:val="1"/>
      <w:marLeft w:val="0"/>
      <w:marRight w:val="0"/>
      <w:marTop w:val="0"/>
      <w:marBottom w:val="0"/>
      <w:divBdr>
        <w:top w:val="none" w:sz="0" w:space="0" w:color="auto"/>
        <w:left w:val="none" w:sz="0" w:space="0" w:color="auto"/>
        <w:bottom w:val="none" w:sz="0" w:space="0" w:color="auto"/>
        <w:right w:val="none" w:sz="0" w:space="0" w:color="auto"/>
      </w:divBdr>
      <w:divsChild>
        <w:div w:id="1679456444">
          <w:marLeft w:val="150"/>
          <w:marRight w:val="150"/>
          <w:marTop w:val="0"/>
          <w:marBottom w:val="150"/>
          <w:divBdr>
            <w:top w:val="none" w:sz="0" w:space="0" w:color="auto"/>
            <w:left w:val="none" w:sz="0" w:space="0" w:color="auto"/>
            <w:bottom w:val="none" w:sz="0" w:space="0" w:color="auto"/>
            <w:right w:val="none" w:sz="0" w:space="0" w:color="auto"/>
          </w:divBdr>
        </w:div>
        <w:div w:id="1852641751">
          <w:marLeft w:val="0"/>
          <w:marRight w:val="0"/>
          <w:marTop w:val="0"/>
          <w:marBottom w:val="0"/>
          <w:divBdr>
            <w:top w:val="none" w:sz="0" w:space="0" w:color="auto"/>
            <w:left w:val="none" w:sz="0" w:space="0" w:color="auto"/>
            <w:bottom w:val="none" w:sz="0" w:space="0" w:color="auto"/>
            <w:right w:val="none" w:sz="0" w:space="0" w:color="auto"/>
          </w:divBdr>
        </w:div>
      </w:divsChild>
    </w:div>
    <w:div w:id="216748242">
      <w:bodyDiv w:val="1"/>
      <w:marLeft w:val="0"/>
      <w:marRight w:val="0"/>
      <w:marTop w:val="0"/>
      <w:marBottom w:val="0"/>
      <w:divBdr>
        <w:top w:val="none" w:sz="0" w:space="0" w:color="auto"/>
        <w:left w:val="none" w:sz="0" w:space="0" w:color="auto"/>
        <w:bottom w:val="none" w:sz="0" w:space="0" w:color="auto"/>
        <w:right w:val="none" w:sz="0" w:space="0" w:color="auto"/>
      </w:divBdr>
      <w:divsChild>
        <w:div w:id="1434202307">
          <w:marLeft w:val="150"/>
          <w:marRight w:val="150"/>
          <w:marTop w:val="0"/>
          <w:marBottom w:val="150"/>
          <w:divBdr>
            <w:top w:val="none" w:sz="0" w:space="0" w:color="auto"/>
            <w:left w:val="none" w:sz="0" w:space="0" w:color="auto"/>
            <w:bottom w:val="none" w:sz="0" w:space="0" w:color="auto"/>
            <w:right w:val="none" w:sz="0" w:space="0" w:color="auto"/>
          </w:divBdr>
        </w:div>
        <w:div w:id="999041323">
          <w:marLeft w:val="0"/>
          <w:marRight w:val="0"/>
          <w:marTop w:val="0"/>
          <w:marBottom w:val="0"/>
          <w:divBdr>
            <w:top w:val="none" w:sz="0" w:space="0" w:color="auto"/>
            <w:left w:val="none" w:sz="0" w:space="0" w:color="auto"/>
            <w:bottom w:val="none" w:sz="0" w:space="0" w:color="auto"/>
            <w:right w:val="none" w:sz="0" w:space="0" w:color="auto"/>
          </w:divBdr>
        </w:div>
      </w:divsChild>
    </w:div>
    <w:div w:id="251665353">
      <w:bodyDiv w:val="1"/>
      <w:marLeft w:val="0"/>
      <w:marRight w:val="0"/>
      <w:marTop w:val="0"/>
      <w:marBottom w:val="0"/>
      <w:divBdr>
        <w:top w:val="none" w:sz="0" w:space="0" w:color="auto"/>
        <w:left w:val="none" w:sz="0" w:space="0" w:color="auto"/>
        <w:bottom w:val="none" w:sz="0" w:space="0" w:color="auto"/>
        <w:right w:val="none" w:sz="0" w:space="0" w:color="auto"/>
      </w:divBdr>
      <w:divsChild>
        <w:div w:id="177935516">
          <w:marLeft w:val="150"/>
          <w:marRight w:val="150"/>
          <w:marTop w:val="0"/>
          <w:marBottom w:val="150"/>
          <w:divBdr>
            <w:top w:val="none" w:sz="0" w:space="0" w:color="auto"/>
            <w:left w:val="none" w:sz="0" w:space="0" w:color="auto"/>
            <w:bottom w:val="none" w:sz="0" w:space="0" w:color="auto"/>
            <w:right w:val="none" w:sz="0" w:space="0" w:color="auto"/>
          </w:divBdr>
        </w:div>
        <w:div w:id="916866357">
          <w:marLeft w:val="0"/>
          <w:marRight w:val="0"/>
          <w:marTop w:val="0"/>
          <w:marBottom w:val="0"/>
          <w:divBdr>
            <w:top w:val="none" w:sz="0" w:space="0" w:color="auto"/>
            <w:left w:val="none" w:sz="0" w:space="0" w:color="auto"/>
            <w:bottom w:val="none" w:sz="0" w:space="0" w:color="auto"/>
            <w:right w:val="none" w:sz="0" w:space="0" w:color="auto"/>
          </w:divBdr>
        </w:div>
      </w:divsChild>
    </w:div>
    <w:div w:id="261647429">
      <w:bodyDiv w:val="1"/>
      <w:marLeft w:val="0"/>
      <w:marRight w:val="0"/>
      <w:marTop w:val="0"/>
      <w:marBottom w:val="0"/>
      <w:divBdr>
        <w:top w:val="none" w:sz="0" w:space="0" w:color="auto"/>
        <w:left w:val="none" w:sz="0" w:space="0" w:color="auto"/>
        <w:bottom w:val="none" w:sz="0" w:space="0" w:color="auto"/>
        <w:right w:val="none" w:sz="0" w:space="0" w:color="auto"/>
      </w:divBdr>
      <w:divsChild>
        <w:div w:id="1929078928">
          <w:marLeft w:val="150"/>
          <w:marRight w:val="150"/>
          <w:marTop w:val="0"/>
          <w:marBottom w:val="150"/>
          <w:divBdr>
            <w:top w:val="none" w:sz="0" w:space="0" w:color="auto"/>
            <w:left w:val="none" w:sz="0" w:space="0" w:color="auto"/>
            <w:bottom w:val="none" w:sz="0" w:space="0" w:color="auto"/>
            <w:right w:val="none" w:sz="0" w:space="0" w:color="auto"/>
          </w:divBdr>
        </w:div>
        <w:div w:id="2057923679">
          <w:marLeft w:val="0"/>
          <w:marRight w:val="0"/>
          <w:marTop w:val="0"/>
          <w:marBottom w:val="0"/>
          <w:divBdr>
            <w:top w:val="none" w:sz="0" w:space="0" w:color="auto"/>
            <w:left w:val="none" w:sz="0" w:space="0" w:color="auto"/>
            <w:bottom w:val="none" w:sz="0" w:space="0" w:color="auto"/>
            <w:right w:val="none" w:sz="0" w:space="0" w:color="auto"/>
          </w:divBdr>
        </w:div>
      </w:divsChild>
    </w:div>
    <w:div w:id="281573930">
      <w:bodyDiv w:val="1"/>
      <w:marLeft w:val="0"/>
      <w:marRight w:val="0"/>
      <w:marTop w:val="0"/>
      <w:marBottom w:val="0"/>
      <w:divBdr>
        <w:top w:val="none" w:sz="0" w:space="0" w:color="auto"/>
        <w:left w:val="none" w:sz="0" w:space="0" w:color="auto"/>
        <w:bottom w:val="none" w:sz="0" w:space="0" w:color="auto"/>
        <w:right w:val="none" w:sz="0" w:space="0" w:color="auto"/>
      </w:divBdr>
      <w:divsChild>
        <w:div w:id="1993869536">
          <w:marLeft w:val="150"/>
          <w:marRight w:val="150"/>
          <w:marTop w:val="0"/>
          <w:marBottom w:val="150"/>
          <w:divBdr>
            <w:top w:val="none" w:sz="0" w:space="0" w:color="auto"/>
            <w:left w:val="none" w:sz="0" w:space="0" w:color="auto"/>
            <w:bottom w:val="none" w:sz="0" w:space="0" w:color="auto"/>
            <w:right w:val="none" w:sz="0" w:space="0" w:color="auto"/>
          </w:divBdr>
        </w:div>
        <w:div w:id="374354194">
          <w:marLeft w:val="0"/>
          <w:marRight w:val="0"/>
          <w:marTop w:val="0"/>
          <w:marBottom w:val="0"/>
          <w:divBdr>
            <w:top w:val="none" w:sz="0" w:space="0" w:color="auto"/>
            <w:left w:val="none" w:sz="0" w:space="0" w:color="auto"/>
            <w:bottom w:val="none" w:sz="0" w:space="0" w:color="auto"/>
            <w:right w:val="none" w:sz="0" w:space="0" w:color="auto"/>
          </w:divBdr>
        </w:div>
      </w:divsChild>
    </w:div>
    <w:div w:id="305865349">
      <w:bodyDiv w:val="1"/>
      <w:marLeft w:val="0"/>
      <w:marRight w:val="0"/>
      <w:marTop w:val="0"/>
      <w:marBottom w:val="0"/>
      <w:divBdr>
        <w:top w:val="none" w:sz="0" w:space="0" w:color="auto"/>
        <w:left w:val="none" w:sz="0" w:space="0" w:color="auto"/>
        <w:bottom w:val="none" w:sz="0" w:space="0" w:color="auto"/>
        <w:right w:val="none" w:sz="0" w:space="0" w:color="auto"/>
      </w:divBdr>
      <w:divsChild>
        <w:div w:id="733239437">
          <w:marLeft w:val="150"/>
          <w:marRight w:val="150"/>
          <w:marTop w:val="0"/>
          <w:marBottom w:val="150"/>
          <w:divBdr>
            <w:top w:val="none" w:sz="0" w:space="0" w:color="auto"/>
            <w:left w:val="none" w:sz="0" w:space="0" w:color="auto"/>
            <w:bottom w:val="none" w:sz="0" w:space="0" w:color="auto"/>
            <w:right w:val="none" w:sz="0" w:space="0" w:color="auto"/>
          </w:divBdr>
        </w:div>
        <w:div w:id="705443714">
          <w:marLeft w:val="0"/>
          <w:marRight w:val="0"/>
          <w:marTop w:val="0"/>
          <w:marBottom w:val="0"/>
          <w:divBdr>
            <w:top w:val="none" w:sz="0" w:space="0" w:color="auto"/>
            <w:left w:val="none" w:sz="0" w:space="0" w:color="auto"/>
            <w:bottom w:val="none" w:sz="0" w:space="0" w:color="auto"/>
            <w:right w:val="none" w:sz="0" w:space="0" w:color="auto"/>
          </w:divBdr>
        </w:div>
      </w:divsChild>
    </w:div>
    <w:div w:id="412900719">
      <w:bodyDiv w:val="1"/>
      <w:marLeft w:val="0"/>
      <w:marRight w:val="0"/>
      <w:marTop w:val="0"/>
      <w:marBottom w:val="0"/>
      <w:divBdr>
        <w:top w:val="none" w:sz="0" w:space="0" w:color="auto"/>
        <w:left w:val="none" w:sz="0" w:space="0" w:color="auto"/>
        <w:bottom w:val="none" w:sz="0" w:space="0" w:color="auto"/>
        <w:right w:val="none" w:sz="0" w:space="0" w:color="auto"/>
      </w:divBdr>
      <w:divsChild>
        <w:div w:id="652637049">
          <w:marLeft w:val="150"/>
          <w:marRight w:val="150"/>
          <w:marTop w:val="0"/>
          <w:marBottom w:val="150"/>
          <w:divBdr>
            <w:top w:val="none" w:sz="0" w:space="0" w:color="auto"/>
            <w:left w:val="none" w:sz="0" w:space="0" w:color="auto"/>
            <w:bottom w:val="none" w:sz="0" w:space="0" w:color="auto"/>
            <w:right w:val="none" w:sz="0" w:space="0" w:color="auto"/>
          </w:divBdr>
        </w:div>
        <w:div w:id="25913939">
          <w:marLeft w:val="0"/>
          <w:marRight w:val="0"/>
          <w:marTop w:val="0"/>
          <w:marBottom w:val="0"/>
          <w:divBdr>
            <w:top w:val="none" w:sz="0" w:space="0" w:color="auto"/>
            <w:left w:val="none" w:sz="0" w:space="0" w:color="auto"/>
            <w:bottom w:val="none" w:sz="0" w:space="0" w:color="auto"/>
            <w:right w:val="none" w:sz="0" w:space="0" w:color="auto"/>
          </w:divBdr>
        </w:div>
      </w:divsChild>
    </w:div>
    <w:div w:id="416825881">
      <w:bodyDiv w:val="1"/>
      <w:marLeft w:val="0"/>
      <w:marRight w:val="0"/>
      <w:marTop w:val="0"/>
      <w:marBottom w:val="0"/>
      <w:divBdr>
        <w:top w:val="none" w:sz="0" w:space="0" w:color="auto"/>
        <w:left w:val="none" w:sz="0" w:space="0" w:color="auto"/>
        <w:bottom w:val="none" w:sz="0" w:space="0" w:color="auto"/>
        <w:right w:val="none" w:sz="0" w:space="0" w:color="auto"/>
      </w:divBdr>
      <w:divsChild>
        <w:div w:id="2146006017">
          <w:marLeft w:val="150"/>
          <w:marRight w:val="150"/>
          <w:marTop w:val="0"/>
          <w:marBottom w:val="150"/>
          <w:divBdr>
            <w:top w:val="none" w:sz="0" w:space="0" w:color="auto"/>
            <w:left w:val="none" w:sz="0" w:space="0" w:color="auto"/>
            <w:bottom w:val="none" w:sz="0" w:space="0" w:color="auto"/>
            <w:right w:val="none" w:sz="0" w:space="0" w:color="auto"/>
          </w:divBdr>
        </w:div>
        <w:div w:id="2025477867">
          <w:marLeft w:val="0"/>
          <w:marRight w:val="0"/>
          <w:marTop w:val="0"/>
          <w:marBottom w:val="0"/>
          <w:divBdr>
            <w:top w:val="none" w:sz="0" w:space="0" w:color="auto"/>
            <w:left w:val="none" w:sz="0" w:space="0" w:color="auto"/>
            <w:bottom w:val="none" w:sz="0" w:space="0" w:color="auto"/>
            <w:right w:val="none" w:sz="0" w:space="0" w:color="auto"/>
          </w:divBdr>
        </w:div>
      </w:divsChild>
    </w:div>
    <w:div w:id="493185718">
      <w:bodyDiv w:val="1"/>
      <w:marLeft w:val="0"/>
      <w:marRight w:val="0"/>
      <w:marTop w:val="0"/>
      <w:marBottom w:val="0"/>
      <w:divBdr>
        <w:top w:val="none" w:sz="0" w:space="0" w:color="auto"/>
        <w:left w:val="none" w:sz="0" w:space="0" w:color="auto"/>
        <w:bottom w:val="none" w:sz="0" w:space="0" w:color="auto"/>
        <w:right w:val="none" w:sz="0" w:space="0" w:color="auto"/>
      </w:divBdr>
      <w:divsChild>
        <w:div w:id="604070903">
          <w:marLeft w:val="0"/>
          <w:marRight w:val="0"/>
          <w:marTop w:val="0"/>
          <w:marBottom w:val="0"/>
          <w:divBdr>
            <w:top w:val="none" w:sz="0" w:space="0" w:color="auto"/>
            <w:left w:val="none" w:sz="0" w:space="0" w:color="auto"/>
            <w:bottom w:val="none" w:sz="0" w:space="0" w:color="auto"/>
            <w:right w:val="none" w:sz="0" w:space="0" w:color="auto"/>
          </w:divBdr>
          <w:divsChild>
            <w:div w:id="269557914">
              <w:marLeft w:val="300"/>
              <w:marRight w:val="300"/>
              <w:marTop w:val="300"/>
              <w:marBottom w:val="300"/>
              <w:divBdr>
                <w:top w:val="none" w:sz="0" w:space="0" w:color="auto"/>
                <w:left w:val="none" w:sz="0" w:space="0" w:color="auto"/>
                <w:bottom w:val="none" w:sz="0" w:space="0" w:color="auto"/>
                <w:right w:val="none" w:sz="0" w:space="0" w:color="auto"/>
              </w:divBdr>
            </w:div>
            <w:div w:id="1072462443">
              <w:marLeft w:val="0"/>
              <w:marRight w:val="0"/>
              <w:marTop w:val="0"/>
              <w:marBottom w:val="0"/>
              <w:divBdr>
                <w:top w:val="none" w:sz="0" w:space="0" w:color="auto"/>
                <w:left w:val="none" w:sz="0" w:space="0" w:color="auto"/>
                <w:bottom w:val="none" w:sz="0" w:space="0" w:color="auto"/>
                <w:right w:val="none" w:sz="0" w:space="0" w:color="auto"/>
              </w:divBdr>
            </w:div>
            <w:div w:id="14985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807">
      <w:bodyDiv w:val="1"/>
      <w:marLeft w:val="0"/>
      <w:marRight w:val="0"/>
      <w:marTop w:val="0"/>
      <w:marBottom w:val="0"/>
      <w:divBdr>
        <w:top w:val="none" w:sz="0" w:space="0" w:color="auto"/>
        <w:left w:val="none" w:sz="0" w:space="0" w:color="auto"/>
        <w:bottom w:val="none" w:sz="0" w:space="0" w:color="auto"/>
        <w:right w:val="none" w:sz="0" w:space="0" w:color="auto"/>
      </w:divBdr>
      <w:divsChild>
        <w:div w:id="1573348943">
          <w:marLeft w:val="150"/>
          <w:marRight w:val="150"/>
          <w:marTop w:val="0"/>
          <w:marBottom w:val="150"/>
          <w:divBdr>
            <w:top w:val="none" w:sz="0" w:space="0" w:color="auto"/>
            <w:left w:val="none" w:sz="0" w:space="0" w:color="auto"/>
            <w:bottom w:val="none" w:sz="0" w:space="0" w:color="auto"/>
            <w:right w:val="none" w:sz="0" w:space="0" w:color="auto"/>
          </w:divBdr>
        </w:div>
        <w:div w:id="953295091">
          <w:marLeft w:val="0"/>
          <w:marRight w:val="0"/>
          <w:marTop w:val="0"/>
          <w:marBottom w:val="0"/>
          <w:divBdr>
            <w:top w:val="none" w:sz="0" w:space="0" w:color="auto"/>
            <w:left w:val="none" w:sz="0" w:space="0" w:color="auto"/>
            <w:bottom w:val="none" w:sz="0" w:space="0" w:color="auto"/>
            <w:right w:val="none" w:sz="0" w:space="0" w:color="auto"/>
          </w:divBdr>
        </w:div>
      </w:divsChild>
    </w:div>
    <w:div w:id="539173163">
      <w:bodyDiv w:val="1"/>
      <w:marLeft w:val="0"/>
      <w:marRight w:val="0"/>
      <w:marTop w:val="0"/>
      <w:marBottom w:val="0"/>
      <w:divBdr>
        <w:top w:val="none" w:sz="0" w:space="0" w:color="auto"/>
        <w:left w:val="none" w:sz="0" w:space="0" w:color="auto"/>
        <w:bottom w:val="none" w:sz="0" w:space="0" w:color="auto"/>
        <w:right w:val="none" w:sz="0" w:space="0" w:color="auto"/>
      </w:divBdr>
      <w:divsChild>
        <w:div w:id="504974531">
          <w:marLeft w:val="150"/>
          <w:marRight w:val="150"/>
          <w:marTop w:val="0"/>
          <w:marBottom w:val="150"/>
          <w:divBdr>
            <w:top w:val="none" w:sz="0" w:space="0" w:color="auto"/>
            <w:left w:val="none" w:sz="0" w:space="0" w:color="auto"/>
            <w:bottom w:val="none" w:sz="0" w:space="0" w:color="auto"/>
            <w:right w:val="none" w:sz="0" w:space="0" w:color="auto"/>
          </w:divBdr>
        </w:div>
        <w:div w:id="2110852686">
          <w:marLeft w:val="0"/>
          <w:marRight w:val="0"/>
          <w:marTop w:val="0"/>
          <w:marBottom w:val="0"/>
          <w:divBdr>
            <w:top w:val="none" w:sz="0" w:space="0" w:color="auto"/>
            <w:left w:val="none" w:sz="0" w:space="0" w:color="auto"/>
            <w:bottom w:val="none" w:sz="0" w:space="0" w:color="auto"/>
            <w:right w:val="none" w:sz="0" w:space="0" w:color="auto"/>
          </w:divBdr>
        </w:div>
      </w:divsChild>
    </w:div>
    <w:div w:id="582758383">
      <w:bodyDiv w:val="1"/>
      <w:marLeft w:val="0"/>
      <w:marRight w:val="0"/>
      <w:marTop w:val="0"/>
      <w:marBottom w:val="0"/>
      <w:divBdr>
        <w:top w:val="none" w:sz="0" w:space="0" w:color="auto"/>
        <w:left w:val="none" w:sz="0" w:space="0" w:color="auto"/>
        <w:bottom w:val="none" w:sz="0" w:space="0" w:color="auto"/>
        <w:right w:val="none" w:sz="0" w:space="0" w:color="auto"/>
      </w:divBdr>
    </w:div>
    <w:div w:id="697893459">
      <w:bodyDiv w:val="1"/>
      <w:marLeft w:val="0"/>
      <w:marRight w:val="0"/>
      <w:marTop w:val="0"/>
      <w:marBottom w:val="0"/>
      <w:divBdr>
        <w:top w:val="none" w:sz="0" w:space="0" w:color="auto"/>
        <w:left w:val="none" w:sz="0" w:space="0" w:color="auto"/>
        <w:bottom w:val="none" w:sz="0" w:space="0" w:color="auto"/>
        <w:right w:val="none" w:sz="0" w:space="0" w:color="auto"/>
      </w:divBdr>
      <w:divsChild>
        <w:div w:id="1484664048">
          <w:marLeft w:val="150"/>
          <w:marRight w:val="150"/>
          <w:marTop w:val="0"/>
          <w:marBottom w:val="150"/>
          <w:divBdr>
            <w:top w:val="none" w:sz="0" w:space="0" w:color="auto"/>
            <w:left w:val="none" w:sz="0" w:space="0" w:color="auto"/>
            <w:bottom w:val="none" w:sz="0" w:space="0" w:color="auto"/>
            <w:right w:val="none" w:sz="0" w:space="0" w:color="auto"/>
          </w:divBdr>
        </w:div>
        <w:div w:id="219243711">
          <w:marLeft w:val="0"/>
          <w:marRight w:val="0"/>
          <w:marTop w:val="0"/>
          <w:marBottom w:val="0"/>
          <w:divBdr>
            <w:top w:val="none" w:sz="0" w:space="0" w:color="auto"/>
            <w:left w:val="none" w:sz="0" w:space="0" w:color="auto"/>
            <w:bottom w:val="none" w:sz="0" w:space="0" w:color="auto"/>
            <w:right w:val="none" w:sz="0" w:space="0" w:color="auto"/>
          </w:divBdr>
        </w:div>
      </w:divsChild>
    </w:div>
    <w:div w:id="703749880">
      <w:bodyDiv w:val="1"/>
      <w:marLeft w:val="0"/>
      <w:marRight w:val="0"/>
      <w:marTop w:val="0"/>
      <w:marBottom w:val="0"/>
      <w:divBdr>
        <w:top w:val="none" w:sz="0" w:space="0" w:color="auto"/>
        <w:left w:val="none" w:sz="0" w:space="0" w:color="auto"/>
        <w:bottom w:val="none" w:sz="0" w:space="0" w:color="auto"/>
        <w:right w:val="none" w:sz="0" w:space="0" w:color="auto"/>
      </w:divBdr>
      <w:divsChild>
        <w:div w:id="1185363782">
          <w:marLeft w:val="150"/>
          <w:marRight w:val="150"/>
          <w:marTop w:val="0"/>
          <w:marBottom w:val="150"/>
          <w:divBdr>
            <w:top w:val="none" w:sz="0" w:space="0" w:color="auto"/>
            <w:left w:val="none" w:sz="0" w:space="0" w:color="auto"/>
            <w:bottom w:val="none" w:sz="0" w:space="0" w:color="auto"/>
            <w:right w:val="none" w:sz="0" w:space="0" w:color="auto"/>
          </w:divBdr>
        </w:div>
        <w:div w:id="2144879994">
          <w:marLeft w:val="0"/>
          <w:marRight w:val="0"/>
          <w:marTop w:val="0"/>
          <w:marBottom w:val="0"/>
          <w:divBdr>
            <w:top w:val="none" w:sz="0" w:space="0" w:color="auto"/>
            <w:left w:val="none" w:sz="0" w:space="0" w:color="auto"/>
            <w:bottom w:val="none" w:sz="0" w:space="0" w:color="auto"/>
            <w:right w:val="none" w:sz="0" w:space="0" w:color="auto"/>
          </w:divBdr>
        </w:div>
      </w:divsChild>
    </w:div>
    <w:div w:id="711199245">
      <w:bodyDiv w:val="1"/>
      <w:marLeft w:val="0"/>
      <w:marRight w:val="0"/>
      <w:marTop w:val="0"/>
      <w:marBottom w:val="0"/>
      <w:divBdr>
        <w:top w:val="none" w:sz="0" w:space="0" w:color="auto"/>
        <w:left w:val="none" w:sz="0" w:space="0" w:color="auto"/>
        <w:bottom w:val="none" w:sz="0" w:space="0" w:color="auto"/>
        <w:right w:val="none" w:sz="0" w:space="0" w:color="auto"/>
      </w:divBdr>
    </w:div>
    <w:div w:id="800925424">
      <w:bodyDiv w:val="1"/>
      <w:marLeft w:val="0"/>
      <w:marRight w:val="0"/>
      <w:marTop w:val="0"/>
      <w:marBottom w:val="0"/>
      <w:divBdr>
        <w:top w:val="none" w:sz="0" w:space="0" w:color="auto"/>
        <w:left w:val="none" w:sz="0" w:space="0" w:color="auto"/>
        <w:bottom w:val="none" w:sz="0" w:space="0" w:color="auto"/>
        <w:right w:val="none" w:sz="0" w:space="0" w:color="auto"/>
      </w:divBdr>
      <w:divsChild>
        <w:div w:id="1708720513">
          <w:marLeft w:val="150"/>
          <w:marRight w:val="150"/>
          <w:marTop w:val="0"/>
          <w:marBottom w:val="150"/>
          <w:divBdr>
            <w:top w:val="none" w:sz="0" w:space="0" w:color="auto"/>
            <w:left w:val="none" w:sz="0" w:space="0" w:color="auto"/>
            <w:bottom w:val="none" w:sz="0" w:space="0" w:color="auto"/>
            <w:right w:val="none" w:sz="0" w:space="0" w:color="auto"/>
          </w:divBdr>
        </w:div>
        <w:div w:id="777988922">
          <w:marLeft w:val="0"/>
          <w:marRight w:val="0"/>
          <w:marTop w:val="0"/>
          <w:marBottom w:val="0"/>
          <w:divBdr>
            <w:top w:val="none" w:sz="0" w:space="0" w:color="auto"/>
            <w:left w:val="none" w:sz="0" w:space="0" w:color="auto"/>
            <w:bottom w:val="none" w:sz="0" w:space="0" w:color="auto"/>
            <w:right w:val="none" w:sz="0" w:space="0" w:color="auto"/>
          </w:divBdr>
        </w:div>
      </w:divsChild>
    </w:div>
    <w:div w:id="829172286">
      <w:bodyDiv w:val="1"/>
      <w:marLeft w:val="0"/>
      <w:marRight w:val="0"/>
      <w:marTop w:val="0"/>
      <w:marBottom w:val="0"/>
      <w:divBdr>
        <w:top w:val="none" w:sz="0" w:space="0" w:color="auto"/>
        <w:left w:val="none" w:sz="0" w:space="0" w:color="auto"/>
        <w:bottom w:val="none" w:sz="0" w:space="0" w:color="auto"/>
        <w:right w:val="none" w:sz="0" w:space="0" w:color="auto"/>
      </w:divBdr>
    </w:div>
    <w:div w:id="832185680">
      <w:bodyDiv w:val="1"/>
      <w:marLeft w:val="0"/>
      <w:marRight w:val="0"/>
      <w:marTop w:val="0"/>
      <w:marBottom w:val="0"/>
      <w:divBdr>
        <w:top w:val="none" w:sz="0" w:space="0" w:color="auto"/>
        <w:left w:val="none" w:sz="0" w:space="0" w:color="auto"/>
        <w:bottom w:val="none" w:sz="0" w:space="0" w:color="auto"/>
        <w:right w:val="none" w:sz="0" w:space="0" w:color="auto"/>
      </w:divBdr>
      <w:divsChild>
        <w:div w:id="726495726">
          <w:marLeft w:val="300"/>
          <w:marRight w:val="300"/>
          <w:marTop w:val="0"/>
          <w:marBottom w:val="0"/>
          <w:divBdr>
            <w:top w:val="none" w:sz="0" w:space="0" w:color="auto"/>
            <w:left w:val="none" w:sz="0" w:space="0" w:color="auto"/>
            <w:bottom w:val="none" w:sz="0" w:space="0" w:color="auto"/>
            <w:right w:val="none" w:sz="0" w:space="0" w:color="auto"/>
          </w:divBdr>
        </w:div>
        <w:div w:id="1794246401">
          <w:marLeft w:val="0"/>
          <w:marRight w:val="0"/>
          <w:marTop w:val="0"/>
          <w:marBottom w:val="0"/>
          <w:divBdr>
            <w:top w:val="none" w:sz="0" w:space="0" w:color="auto"/>
            <w:left w:val="none" w:sz="0" w:space="0" w:color="auto"/>
            <w:bottom w:val="none" w:sz="0" w:space="0" w:color="auto"/>
            <w:right w:val="none" w:sz="0" w:space="0" w:color="auto"/>
          </w:divBdr>
        </w:div>
      </w:divsChild>
    </w:div>
    <w:div w:id="842742635">
      <w:bodyDiv w:val="1"/>
      <w:marLeft w:val="0"/>
      <w:marRight w:val="0"/>
      <w:marTop w:val="0"/>
      <w:marBottom w:val="0"/>
      <w:divBdr>
        <w:top w:val="none" w:sz="0" w:space="0" w:color="auto"/>
        <w:left w:val="none" w:sz="0" w:space="0" w:color="auto"/>
        <w:bottom w:val="none" w:sz="0" w:space="0" w:color="auto"/>
        <w:right w:val="none" w:sz="0" w:space="0" w:color="auto"/>
      </w:divBdr>
      <w:divsChild>
        <w:div w:id="166336260">
          <w:marLeft w:val="150"/>
          <w:marRight w:val="150"/>
          <w:marTop w:val="0"/>
          <w:marBottom w:val="150"/>
          <w:divBdr>
            <w:top w:val="none" w:sz="0" w:space="0" w:color="auto"/>
            <w:left w:val="none" w:sz="0" w:space="0" w:color="auto"/>
            <w:bottom w:val="none" w:sz="0" w:space="0" w:color="auto"/>
            <w:right w:val="none" w:sz="0" w:space="0" w:color="auto"/>
          </w:divBdr>
        </w:div>
        <w:div w:id="1993673186">
          <w:marLeft w:val="0"/>
          <w:marRight w:val="0"/>
          <w:marTop w:val="0"/>
          <w:marBottom w:val="0"/>
          <w:divBdr>
            <w:top w:val="none" w:sz="0" w:space="0" w:color="auto"/>
            <w:left w:val="none" w:sz="0" w:space="0" w:color="auto"/>
            <w:bottom w:val="none" w:sz="0" w:space="0" w:color="auto"/>
            <w:right w:val="none" w:sz="0" w:space="0" w:color="auto"/>
          </w:divBdr>
        </w:div>
      </w:divsChild>
    </w:div>
    <w:div w:id="920485522">
      <w:bodyDiv w:val="1"/>
      <w:marLeft w:val="0"/>
      <w:marRight w:val="0"/>
      <w:marTop w:val="0"/>
      <w:marBottom w:val="0"/>
      <w:divBdr>
        <w:top w:val="none" w:sz="0" w:space="0" w:color="auto"/>
        <w:left w:val="none" w:sz="0" w:space="0" w:color="auto"/>
        <w:bottom w:val="none" w:sz="0" w:space="0" w:color="auto"/>
        <w:right w:val="none" w:sz="0" w:space="0" w:color="auto"/>
      </w:divBdr>
      <w:divsChild>
        <w:div w:id="1434863398">
          <w:marLeft w:val="150"/>
          <w:marRight w:val="150"/>
          <w:marTop w:val="0"/>
          <w:marBottom w:val="150"/>
          <w:divBdr>
            <w:top w:val="none" w:sz="0" w:space="0" w:color="auto"/>
            <w:left w:val="none" w:sz="0" w:space="0" w:color="auto"/>
            <w:bottom w:val="none" w:sz="0" w:space="0" w:color="auto"/>
            <w:right w:val="none" w:sz="0" w:space="0" w:color="auto"/>
          </w:divBdr>
        </w:div>
        <w:div w:id="695235370">
          <w:marLeft w:val="0"/>
          <w:marRight w:val="0"/>
          <w:marTop w:val="0"/>
          <w:marBottom w:val="0"/>
          <w:divBdr>
            <w:top w:val="none" w:sz="0" w:space="0" w:color="auto"/>
            <w:left w:val="none" w:sz="0" w:space="0" w:color="auto"/>
            <w:bottom w:val="none" w:sz="0" w:space="0" w:color="auto"/>
            <w:right w:val="none" w:sz="0" w:space="0" w:color="auto"/>
          </w:divBdr>
        </w:div>
      </w:divsChild>
    </w:div>
    <w:div w:id="941256013">
      <w:bodyDiv w:val="1"/>
      <w:marLeft w:val="0"/>
      <w:marRight w:val="0"/>
      <w:marTop w:val="0"/>
      <w:marBottom w:val="0"/>
      <w:divBdr>
        <w:top w:val="none" w:sz="0" w:space="0" w:color="auto"/>
        <w:left w:val="none" w:sz="0" w:space="0" w:color="auto"/>
        <w:bottom w:val="none" w:sz="0" w:space="0" w:color="auto"/>
        <w:right w:val="none" w:sz="0" w:space="0" w:color="auto"/>
      </w:divBdr>
      <w:divsChild>
        <w:div w:id="445393163">
          <w:marLeft w:val="150"/>
          <w:marRight w:val="150"/>
          <w:marTop w:val="0"/>
          <w:marBottom w:val="150"/>
          <w:divBdr>
            <w:top w:val="none" w:sz="0" w:space="0" w:color="auto"/>
            <w:left w:val="none" w:sz="0" w:space="0" w:color="auto"/>
            <w:bottom w:val="none" w:sz="0" w:space="0" w:color="auto"/>
            <w:right w:val="none" w:sz="0" w:space="0" w:color="auto"/>
          </w:divBdr>
        </w:div>
        <w:div w:id="523254723">
          <w:marLeft w:val="0"/>
          <w:marRight w:val="0"/>
          <w:marTop w:val="0"/>
          <w:marBottom w:val="0"/>
          <w:divBdr>
            <w:top w:val="none" w:sz="0" w:space="0" w:color="auto"/>
            <w:left w:val="none" w:sz="0" w:space="0" w:color="auto"/>
            <w:bottom w:val="none" w:sz="0" w:space="0" w:color="auto"/>
            <w:right w:val="none" w:sz="0" w:space="0" w:color="auto"/>
          </w:divBdr>
        </w:div>
      </w:divsChild>
    </w:div>
    <w:div w:id="1028219976">
      <w:bodyDiv w:val="1"/>
      <w:marLeft w:val="0"/>
      <w:marRight w:val="0"/>
      <w:marTop w:val="0"/>
      <w:marBottom w:val="0"/>
      <w:divBdr>
        <w:top w:val="none" w:sz="0" w:space="0" w:color="auto"/>
        <w:left w:val="none" w:sz="0" w:space="0" w:color="auto"/>
        <w:bottom w:val="none" w:sz="0" w:space="0" w:color="auto"/>
        <w:right w:val="none" w:sz="0" w:space="0" w:color="auto"/>
      </w:divBdr>
      <w:divsChild>
        <w:div w:id="1395200165">
          <w:marLeft w:val="150"/>
          <w:marRight w:val="150"/>
          <w:marTop w:val="0"/>
          <w:marBottom w:val="150"/>
          <w:divBdr>
            <w:top w:val="none" w:sz="0" w:space="0" w:color="auto"/>
            <w:left w:val="none" w:sz="0" w:space="0" w:color="auto"/>
            <w:bottom w:val="none" w:sz="0" w:space="0" w:color="auto"/>
            <w:right w:val="none" w:sz="0" w:space="0" w:color="auto"/>
          </w:divBdr>
        </w:div>
        <w:div w:id="2133555627">
          <w:marLeft w:val="0"/>
          <w:marRight w:val="0"/>
          <w:marTop w:val="0"/>
          <w:marBottom w:val="0"/>
          <w:divBdr>
            <w:top w:val="none" w:sz="0" w:space="0" w:color="auto"/>
            <w:left w:val="none" w:sz="0" w:space="0" w:color="auto"/>
            <w:bottom w:val="none" w:sz="0" w:space="0" w:color="auto"/>
            <w:right w:val="none" w:sz="0" w:space="0" w:color="auto"/>
          </w:divBdr>
        </w:div>
      </w:divsChild>
    </w:div>
    <w:div w:id="1081753137">
      <w:bodyDiv w:val="1"/>
      <w:marLeft w:val="0"/>
      <w:marRight w:val="0"/>
      <w:marTop w:val="0"/>
      <w:marBottom w:val="0"/>
      <w:divBdr>
        <w:top w:val="none" w:sz="0" w:space="0" w:color="auto"/>
        <w:left w:val="none" w:sz="0" w:space="0" w:color="auto"/>
        <w:bottom w:val="none" w:sz="0" w:space="0" w:color="auto"/>
        <w:right w:val="none" w:sz="0" w:space="0" w:color="auto"/>
      </w:divBdr>
      <w:divsChild>
        <w:div w:id="1384330967">
          <w:marLeft w:val="150"/>
          <w:marRight w:val="150"/>
          <w:marTop w:val="0"/>
          <w:marBottom w:val="150"/>
          <w:divBdr>
            <w:top w:val="none" w:sz="0" w:space="0" w:color="auto"/>
            <w:left w:val="none" w:sz="0" w:space="0" w:color="auto"/>
            <w:bottom w:val="none" w:sz="0" w:space="0" w:color="auto"/>
            <w:right w:val="none" w:sz="0" w:space="0" w:color="auto"/>
          </w:divBdr>
        </w:div>
        <w:div w:id="1804155285">
          <w:marLeft w:val="0"/>
          <w:marRight w:val="0"/>
          <w:marTop w:val="0"/>
          <w:marBottom w:val="0"/>
          <w:divBdr>
            <w:top w:val="none" w:sz="0" w:space="0" w:color="auto"/>
            <w:left w:val="none" w:sz="0" w:space="0" w:color="auto"/>
            <w:bottom w:val="none" w:sz="0" w:space="0" w:color="auto"/>
            <w:right w:val="none" w:sz="0" w:space="0" w:color="auto"/>
          </w:divBdr>
          <w:divsChild>
            <w:div w:id="2085957098">
              <w:marLeft w:val="0"/>
              <w:marRight w:val="0"/>
              <w:marTop w:val="0"/>
              <w:marBottom w:val="0"/>
              <w:divBdr>
                <w:top w:val="none" w:sz="0" w:space="0" w:color="auto"/>
                <w:left w:val="none" w:sz="0" w:space="0" w:color="auto"/>
                <w:bottom w:val="none" w:sz="0" w:space="0" w:color="auto"/>
                <w:right w:val="none" w:sz="0" w:space="0" w:color="auto"/>
              </w:divBdr>
            </w:div>
            <w:div w:id="3457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0080">
      <w:bodyDiv w:val="1"/>
      <w:marLeft w:val="0"/>
      <w:marRight w:val="0"/>
      <w:marTop w:val="0"/>
      <w:marBottom w:val="0"/>
      <w:divBdr>
        <w:top w:val="none" w:sz="0" w:space="0" w:color="auto"/>
        <w:left w:val="none" w:sz="0" w:space="0" w:color="auto"/>
        <w:bottom w:val="none" w:sz="0" w:space="0" w:color="auto"/>
        <w:right w:val="none" w:sz="0" w:space="0" w:color="auto"/>
      </w:divBdr>
      <w:divsChild>
        <w:div w:id="309141139">
          <w:marLeft w:val="150"/>
          <w:marRight w:val="150"/>
          <w:marTop w:val="0"/>
          <w:marBottom w:val="150"/>
          <w:divBdr>
            <w:top w:val="none" w:sz="0" w:space="0" w:color="auto"/>
            <w:left w:val="none" w:sz="0" w:space="0" w:color="auto"/>
            <w:bottom w:val="none" w:sz="0" w:space="0" w:color="auto"/>
            <w:right w:val="none" w:sz="0" w:space="0" w:color="auto"/>
          </w:divBdr>
        </w:div>
        <w:div w:id="924653581">
          <w:marLeft w:val="0"/>
          <w:marRight w:val="0"/>
          <w:marTop w:val="0"/>
          <w:marBottom w:val="0"/>
          <w:divBdr>
            <w:top w:val="none" w:sz="0" w:space="0" w:color="auto"/>
            <w:left w:val="none" w:sz="0" w:space="0" w:color="auto"/>
            <w:bottom w:val="none" w:sz="0" w:space="0" w:color="auto"/>
            <w:right w:val="none" w:sz="0" w:space="0" w:color="auto"/>
          </w:divBdr>
        </w:div>
      </w:divsChild>
    </w:div>
    <w:div w:id="1105807370">
      <w:bodyDiv w:val="1"/>
      <w:marLeft w:val="0"/>
      <w:marRight w:val="0"/>
      <w:marTop w:val="0"/>
      <w:marBottom w:val="0"/>
      <w:divBdr>
        <w:top w:val="none" w:sz="0" w:space="0" w:color="auto"/>
        <w:left w:val="none" w:sz="0" w:space="0" w:color="auto"/>
        <w:bottom w:val="none" w:sz="0" w:space="0" w:color="auto"/>
        <w:right w:val="none" w:sz="0" w:space="0" w:color="auto"/>
      </w:divBdr>
      <w:divsChild>
        <w:div w:id="241909759">
          <w:marLeft w:val="150"/>
          <w:marRight w:val="150"/>
          <w:marTop w:val="0"/>
          <w:marBottom w:val="150"/>
          <w:divBdr>
            <w:top w:val="none" w:sz="0" w:space="0" w:color="auto"/>
            <w:left w:val="none" w:sz="0" w:space="0" w:color="auto"/>
            <w:bottom w:val="none" w:sz="0" w:space="0" w:color="auto"/>
            <w:right w:val="none" w:sz="0" w:space="0" w:color="auto"/>
          </w:divBdr>
        </w:div>
        <w:div w:id="661785803">
          <w:marLeft w:val="0"/>
          <w:marRight w:val="0"/>
          <w:marTop w:val="0"/>
          <w:marBottom w:val="0"/>
          <w:divBdr>
            <w:top w:val="none" w:sz="0" w:space="0" w:color="auto"/>
            <w:left w:val="none" w:sz="0" w:space="0" w:color="auto"/>
            <w:bottom w:val="none" w:sz="0" w:space="0" w:color="auto"/>
            <w:right w:val="none" w:sz="0" w:space="0" w:color="auto"/>
          </w:divBdr>
        </w:div>
      </w:divsChild>
    </w:div>
    <w:div w:id="1236935207">
      <w:bodyDiv w:val="1"/>
      <w:marLeft w:val="0"/>
      <w:marRight w:val="0"/>
      <w:marTop w:val="0"/>
      <w:marBottom w:val="0"/>
      <w:divBdr>
        <w:top w:val="none" w:sz="0" w:space="0" w:color="auto"/>
        <w:left w:val="none" w:sz="0" w:space="0" w:color="auto"/>
        <w:bottom w:val="none" w:sz="0" w:space="0" w:color="auto"/>
        <w:right w:val="none" w:sz="0" w:space="0" w:color="auto"/>
      </w:divBdr>
      <w:divsChild>
        <w:div w:id="681198619">
          <w:marLeft w:val="150"/>
          <w:marRight w:val="150"/>
          <w:marTop w:val="0"/>
          <w:marBottom w:val="150"/>
          <w:divBdr>
            <w:top w:val="none" w:sz="0" w:space="0" w:color="auto"/>
            <w:left w:val="none" w:sz="0" w:space="0" w:color="auto"/>
            <w:bottom w:val="none" w:sz="0" w:space="0" w:color="auto"/>
            <w:right w:val="none" w:sz="0" w:space="0" w:color="auto"/>
          </w:divBdr>
        </w:div>
        <w:div w:id="1413700853">
          <w:marLeft w:val="0"/>
          <w:marRight w:val="0"/>
          <w:marTop w:val="0"/>
          <w:marBottom w:val="0"/>
          <w:divBdr>
            <w:top w:val="none" w:sz="0" w:space="0" w:color="auto"/>
            <w:left w:val="none" w:sz="0" w:space="0" w:color="auto"/>
            <w:bottom w:val="none" w:sz="0" w:space="0" w:color="auto"/>
            <w:right w:val="none" w:sz="0" w:space="0" w:color="auto"/>
          </w:divBdr>
        </w:div>
      </w:divsChild>
    </w:div>
    <w:div w:id="1260333288">
      <w:bodyDiv w:val="1"/>
      <w:marLeft w:val="0"/>
      <w:marRight w:val="0"/>
      <w:marTop w:val="0"/>
      <w:marBottom w:val="0"/>
      <w:divBdr>
        <w:top w:val="none" w:sz="0" w:space="0" w:color="auto"/>
        <w:left w:val="none" w:sz="0" w:space="0" w:color="auto"/>
        <w:bottom w:val="none" w:sz="0" w:space="0" w:color="auto"/>
        <w:right w:val="none" w:sz="0" w:space="0" w:color="auto"/>
      </w:divBdr>
      <w:divsChild>
        <w:div w:id="1143618275">
          <w:marLeft w:val="150"/>
          <w:marRight w:val="150"/>
          <w:marTop w:val="0"/>
          <w:marBottom w:val="150"/>
          <w:divBdr>
            <w:top w:val="none" w:sz="0" w:space="0" w:color="auto"/>
            <w:left w:val="none" w:sz="0" w:space="0" w:color="auto"/>
            <w:bottom w:val="none" w:sz="0" w:space="0" w:color="auto"/>
            <w:right w:val="none" w:sz="0" w:space="0" w:color="auto"/>
          </w:divBdr>
        </w:div>
        <w:div w:id="611940422">
          <w:marLeft w:val="0"/>
          <w:marRight w:val="0"/>
          <w:marTop w:val="0"/>
          <w:marBottom w:val="0"/>
          <w:divBdr>
            <w:top w:val="none" w:sz="0" w:space="0" w:color="auto"/>
            <w:left w:val="none" w:sz="0" w:space="0" w:color="auto"/>
            <w:bottom w:val="none" w:sz="0" w:space="0" w:color="auto"/>
            <w:right w:val="none" w:sz="0" w:space="0" w:color="auto"/>
          </w:divBdr>
        </w:div>
      </w:divsChild>
    </w:div>
    <w:div w:id="1270547058">
      <w:bodyDiv w:val="1"/>
      <w:marLeft w:val="0"/>
      <w:marRight w:val="0"/>
      <w:marTop w:val="0"/>
      <w:marBottom w:val="0"/>
      <w:divBdr>
        <w:top w:val="none" w:sz="0" w:space="0" w:color="auto"/>
        <w:left w:val="none" w:sz="0" w:space="0" w:color="auto"/>
        <w:bottom w:val="none" w:sz="0" w:space="0" w:color="auto"/>
        <w:right w:val="none" w:sz="0" w:space="0" w:color="auto"/>
      </w:divBdr>
      <w:divsChild>
        <w:div w:id="797721305">
          <w:marLeft w:val="150"/>
          <w:marRight w:val="150"/>
          <w:marTop w:val="0"/>
          <w:marBottom w:val="150"/>
          <w:divBdr>
            <w:top w:val="none" w:sz="0" w:space="0" w:color="auto"/>
            <w:left w:val="none" w:sz="0" w:space="0" w:color="auto"/>
            <w:bottom w:val="none" w:sz="0" w:space="0" w:color="auto"/>
            <w:right w:val="none" w:sz="0" w:space="0" w:color="auto"/>
          </w:divBdr>
        </w:div>
        <w:div w:id="513225193">
          <w:marLeft w:val="0"/>
          <w:marRight w:val="0"/>
          <w:marTop w:val="0"/>
          <w:marBottom w:val="0"/>
          <w:divBdr>
            <w:top w:val="none" w:sz="0" w:space="0" w:color="auto"/>
            <w:left w:val="none" w:sz="0" w:space="0" w:color="auto"/>
            <w:bottom w:val="none" w:sz="0" w:space="0" w:color="auto"/>
            <w:right w:val="none" w:sz="0" w:space="0" w:color="auto"/>
          </w:divBdr>
        </w:div>
      </w:divsChild>
    </w:div>
    <w:div w:id="1289703065">
      <w:bodyDiv w:val="1"/>
      <w:marLeft w:val="0"/>
      <w:marRight w:val="0"/>
      <w:marTop w:val="0"/>
      <w:marBottom w:val="0"/>
      <w:divBdr>
        <w:top w:val="none" w:sz="0" w:space="0" w:color="auto"/>
        <w:left w:val="none" w:sz="0" w:space="0" w:color="auto"/>
        <w:bottom w:val="none" w:sz="0" w:space="0" w:color="auto"/>
        <w:right w:val="none" w:sz="0" w:space="0" w:color="auto"/>
      </w:divBdr>
    </w:div>
    <w:div w:id="1395204188">
      <w:bodyDiv w:val="1"/>
      <w:marLeft w:val="0"/>
      <w:marRight w:val="0"/>
      <w:marTop w:val="0"/>
      <w:marBottom w:val="0"/>
      <w:divBdr>
        <w:top w:val="none" w:sz="0" w:space="0" w:color="auto"/>
        <w:left w:val="none" w:sz="0" w:space="0" w:color="auto"/>
        <w:bottom w:val="none" w:sz="0" w:space="0" w:color="auto"/>
        <w:right w:val="none" w:sz="0" w:space="0" w:color="auto"/>
      </w:divBdr>
      <w:divsChild>
        <w:div w:id="855118144">
          <w:marLeft w:val="150"/>
          <w:marRight w:val="150"/>
          <w:marTop w:val="0"/>
          <w:marBottom w:val="150"/>
          <w:divBdr>
            <w:top w:val="none" w:sz="0" w:space="0" w:color="auto"/>
            <w:left w:val="none" w:sz="0" w:space="0" w:color="auto"/>
            <w:bottom w:val="none" w:sz="0" w:space="0" w:color="auto"/>
            <w:right w:val="none" w:sz="0" w:space="0" w:color="auto"/>
          </w:divBdr>
        </w:div>
        <w:div w:id="1100758790">
          <w:marLeft w:val="0"/>
          <w:marRight w:val="0"/>
          <w:marTop w:val="0"/>
          <w:marBottom w:val="0"/>
          <w:divBdr>
            <w:top w:val="none" w:sz="0" w:space="0" w:color="auto"/>
            <w:left w:val="none" w:sz="0" w:space="0" w:color="auto"/>
            <w:bottom w:val="none" w:sz="0" w:space="0" w:color="auto"/>
            <w:right w:val="none" w:sz="0" w:space="0" w:color="auto"/>
          </w:divBdr>
        </w:div>
      </w:divsChild>
    </w:div>
    <w:div w:id="1405223381">
      <w:bodyDiv w:val="1"/>
      <w:marLeft w:val="0"/>
      <w:marRight w:val="0"/>
      <w:marTop w:val="0"/>
      <w:marBottom w:val="0"/>
      <w:divBdr>
        <w:top w:val="none" w:sz="0" w:space="0" w:color="auto"/>
        <w:left w:val="none" w:sz="0" w:space="0" w:color="auto"/>
        <w:bottom w:val="none" w:sz="0" w:space="0" w:color="auto"/>
        <w:right w:val="none" w:sz="0" w:space="0" w:color="auto"/>
      </w:divBdr>
      <w:divsChild>
        <w:div w:id="2029063231">
          <w:marLeft w:val="150"/>
          <w:marRight w:val="150"/>
          <w:marTop w:val="0"/>
          <w:marBottom w:val="150"/>
          <w:divBdr>
            <w:top w:val="none" w:sz="0" w:space="0" w:color="auto"/>
            <w:left w:val="none" w:sz="0" w:space="0" w:color="auto"/>
            <w:bottom w:val="none" w:sz="0" w:space="0" w:color="auto"/>
            <w:right w:val="none" w:sz="0" w:space="0" w:color="auto"/>
          </w:divBdr>
        </w:div>
        <w:div w:id="1413695271">
          <w:marLeft w:val="0"/>
          <w:marRight w:val="0"/>
          <w:marTop w:val="0"/>
          <w:marBottom w:val="0"/>
          <w:divBdr>
            <w:top w:val="none" w:sz="0" w:space="0" w:color="auto"/>
            <w:left w:val="none" w:sz="0" w:space="0" w:color="auto"/>
            <w:bottom w:val="none" w:sz="0" w:space="0" w:color="auto"/>
            <w:right w:val="none" w:sz="0" w:space="0" w:color="auto"/>
          </w:divBdr>
        </w:div>
      </w:divsChild>
    </w:div>
    <w:div w:id="1505167609">
      <w:bodyDiv w:val="1"/>
      <w:marLeft w:val="0"/>
      <w:marRight w:val="0"/>
      <w:marTop w:val="0"/>
      <w:marBottom w:val="0"/>
      <w:divBdr>
        <w:top w:val="none" w:sz="0" w:space="0" w:color="auto"/>
        <w:left w:val="none" w:sz="0" w:space="0" w:color="auto"/>
        <w:bottom w:val="none" w:sz="0" w:space="0" w:color="auto"/>
        <w:right w:val="none" w:sz="0" w:space="0" w:color="auto"/>
      </w:divBdr>
      <w:divsChild>
        <w:div w:id="1893498270">
          <w:marLeft w:val="150"/>
          <w:marRight w:val="150"/>
          <w:marTop w:val="0"/>
          <w:marBottom w:val="150"/>
          <w:divBdr>
            <w:top w:val="none" w:sz="0" w:space="0" w:color="auto"/>
            <w:left w:val="none" w:sz="0" w:space="0" w:color="auto"/>
            <w:bottom w:val="none" w:sz="0" w:space="0" w:color="auto"/>
            <w:right w:val="none" w:sz="0" w:space="0" w:color="auto"/>
          </w:divBdr>
        </w:div>
        <w:div w:id="1400639299">
          <w:marLeft w:val="0"/>
          <w:marRight w:val="0"/>
          <w:marTop w:val="0"/>
          <w:marBottom w:val="0"/>
          <w:divBdr>
            <w:top w:val="none" w:sz="0" w:space="0" w:color="auto"/>
            <w:left w:val="none" w:sz="0" w:space="0" w:color="auto"/>
            <w:bottom w:val="none" w:sz="0" w:space="0" w:color="auto"/>
            <w:right w:val="none" w:sz="0" w:space="0" w:color="auto"/>
          </w:divBdr>
        </w:div>
      </w:divsChild>
    </w:div>
    <w:div w:id="1520004994">
      <w:bodyDiv w:val="1"/>
      <w:marLeft w:val="0"/>
      <w:marRight w:val="0"/>
      <w:marTop w:val="0"/>
      <w:marBottom w:val="0"/>
      <w:divBdr>
        <w:top w:val="none" w:sz="0" w:space="0" w:color="auto"/>
        <w:left w:val="none" w:sz="0" w:space="0" w:color="auto"/>
        <w:bottom w:val="none" w:sz="0" w:space="0" w:color="auto"/>
        <w:right w:val="none" w:sz="0" w:space="0" w:color="auto"/>
      </w:divBdr>
      <w:divsChild>
        <w:div w:id="2010326320">
          <w:marLeft w:val="150"/>
          <w:marRight w:val="150"/>
          <w:marTop w:val="0"/>
          <w:marBottom w:val="150"/>
          <w:divBdr>
            <w:top w:val="none" w:sz="0" w:space="0" w:color="auto"/>
            <w:left w:val="none" w:sz="0" w:space="0" w:color="auto"/>
            <w:bottom w:val="none" w:sz="0" w:space="0" w:color="auto"/>
            <w:right w:val="none" w:sz="0" w:space="0" w:color="auto"/>
          </w:divBdr>
        </w:div>
        <w:div w:id="649942751">
          <w:marLeft w:val="0"/>
          <w:marRight w:val="0"/>
          <w:marTop w:val="0"/>
          <w:marBottom w:val="0"/>
          <w:divBdr>
            <w:top w:val="none" w:sz="0" w:space="0" w:color="auto"/>
            <w:left w:val="none" w:sz="0" w:space="0" w:color="auto"/>
            <w:bottom w:val="none" w:sz="0" w:space="0" w:color="auto"/>
            <w:right w:val="none" w:sz="0" w:space="0" w:color="auto"/>
          </w:divBdr>
        </w:div>
      </w:divsChild>
    </w:div>
    <w:div w:id="1613241457">
      <w:bodyDiv w:val="1"/>
      <w:marLeft w:val="0"/>
      <w:marRight w:val="0"/>
      <w:marTop w:val="0"/>
      <w:marBottom w:val="0"/>
      <w:divBdr>
        <w:top w:val="none" w:sz="0" w:space="0" w:color="auto"/>
        <w:left w:val="none" w:sz="0" w:space="0" w:color="auto"/>
        <w:bottom w:val="none" w:sz="0" w:space="0" w:color="auto"/>
        <w:right w:val="none" w:sz="0" w:space="0" w:color="auto"/>
      </w:divBdr>
      <w:divsChild>
        <w:div w:id="1086612880">
          <w:marLeft w:val="150"/>
          <w:marRight w:val="150"/>
          <w:marTop w:val="0"/>
          <w:marBottom w:val="150"/>
          <w:divBdr>
            <w:top w:val="none" w:sz="0" w:space="0" w:color="auto"/>
            <w:left w:val="none" w:sz="0" w:space="0" w:color="auto"/>
            <w:bottom w:val="none" w:sz="0" w:space="0" w:color="auto"/>
            <w:right w:val="none" w:sz="0" w:space="0" w:color="auto"/>
          </w:divBdr>
        </w:div>
        <w:div w:id="1827934312">
          <w:marLeft w:val="0"/>
          <w:marRight w:val="0"/>
          <w:marTop w:val="0"/>
          <w:marBottom w:val="0"/>
          <w:divBdr>
            <w:top w:val="none" w:sz="0" w:space="0" w:color="auto"/>
            <w:left w:val="none" w:sz="0" w:space="0" w:color="auto"/>
            <w:bottom w:val="none" w:sz="0" w:space="0" w:color="auto"/>
            <w:right w:val="none" w:sz="0" w:space="0" w:color="auto"/>
          </w:divBdr>
        </w:div>
      </w:divsChild>
    </w:div>
    <w:div w:id="1638948881">
      <w:bodyDiv w:val="1"/>
      <w:marLeft w:val="0"/>
      <w:marRight w:val="0"/>
      <w:marTop w:val="0"/>
      <w:marBottom w:val="0"/>
      <w:divBdr>
        <w:top w:val="none" w:sz="0" w:space="0" w:color="auto"/>
        <w:left w:val="none" w:sz="0" w:space="0" w:color="auto"/>
        <w:bottom w:val="none" w:sz="0" w:space="0" w:color="auto"/>
        <w:right w:val="none" w:sz="0" w:space="0" w:color="auto"/>
      </w:divBdr>
      <w:divsChild>
        <w:div w:id="1654217667">
          <w:marLeft w:val="150"/>
          <w:marRight w:val="150"/>
          <w:marTop w:val="0"/>
          <w:marBottom w:val="150"/>
          <w:divBdr>
            <w:top w:val="none" w:sz="0" w:space="0" w:color="auto"/>
            <w:left w:val="none" w:sz="0" w:space="0" w:color="auto"/>
            <w:bottom w:val="none" w:sz="0" w:space="0" w:color="auto"/>
            <w:right w:val="none" w:sz="0" w:space="0" w:color="auto"/>
          </w:divBdr>
        </w:div>
        <w:div w:id="1825855947">
          <w:marLeft w:val="0"/>
          <w:marRight w:val="0"/>
          <w:marTop w:val="0"/>
          <w:marBottom w:val="0"/>
          <w:divBdr>
            <w:top w:val="none" w:sz="0" w:space="0" w:color="auto"/>
            <w:left w:val="none" w:sz="0" w:space="0" w:color="auto"/>
            <w:bottom w:val="none" w:sz="0" w:space="0" w:color="auto"/>
            <w:right w:val="none" w:sz="0" w:space="0" w:color="auto"/>
          </w:divBdr>
        </w:div>
      </w:divsChild>
    </w:div>
    <w:div w:id="1640767162">
      <w:bodyDiv w:val="1"/>
      <w:marLeft w:val="0"/>
      <w:marRight w:val="0"/>
      <w:marTop w:val="0"/>
      <w:marBottom w:val="0"/>
      <w:divBdr>
        <w:top w:val="none" w:sz="0" w:space="0" w:color="auto"/>
        <w:left w:val="none" w:sz="0" w:space="0" w:color="auto"/>
        <w:bottom w:val="none" w:sz="0" w:space="0" w:color="auto"/>
        <w:right w:val="none" w:sz="0" w:space="0" w:color="auto"/>
      </w:divBdr>
      <w:divsChild>
        <w:div w:id="1381635805">
          <w:marLeft w:val="150"/>
          <w:marRight w:val="150"/>
          <w:marTop w:val="0"/>
          <w:marBottom w:val="150"/>
          <w:divBdr>
            <w:top w:val="none" w:sz="0" w:space="0" w:color="auto"/>
            <w:left w:val="none" w:sz="0" w:space="0" w:color="auto"/>
            <w:bottom w:val="none" w:sz="0" w:space="0" w:color="auto"/>
            <w:right w:val="none" w:sz="0" w:space="0" w:color="auto"/>
          </w:divBdr>
        </w:div>
        <w:div w:id="664823289">
          <w:marLeft w:val="0"/>
          <w:marRight w:val="0"/>
          <w:marTop w:val="0"/>
          <w:marBottom w:val="0"/>
          <w:divBdr>
            <w:top w:val="none" w:sz="0" w:space="0" w:color="auto"/>
            <w:left w:val="none" w:sz="0" w:space="0" w:color="auto"/>
            <w:bottom w:val="none" w:sz="0" w:space="0" w:color="auto"/>
            <w:right w:val="none" w:sz="0" w:space="0" w:color="auto"/>
          </w:divBdr>
        </w:div>
      </w:divsChild>
    </w:div>
    <w:div w:id="1673793850">
      <w:bodyDiv w:val="1"/>
      <w:marLeft w:val="0"/>
      <w:marRight w:val="0"/>
      <w:marTop w:val="0"/>
      <w:marBottom w:val="0"/>
      <w:divBdr>
        <w:top w:val="none" w:sz="0" w:space="0" w:color="auto"/>
        <w:left w:val="none" w:sz="0" w:space="0" w:color="auto"/>
        <w:bottom w:val="none" w:sz="0" w:space="0" w:color="auto"/>
        <w:right w:val="none" w:sz="0" w:space="0" w:color="auto"/>
      </w:divBdr>
      <w:divsChild>
        <w:div w:id="721946354">
          <w:marLeft w:val="150"/>
          <w:marRight w:val="150"/>
          <w:marTop w:val="0"/>
          <w:marBottom w:val="150"/>
          <w:divBdr>
            <w:top w:val="none" w:sz="0" w:space="0" w:color="auto"/>
            <w:left w:val="none" w:sz="0" w:space="0" w:color="auto"/>
            <w:bottom w:val="none" w:sz="0" w:space="0" w:color="auto"/>
            <w:right w:val="none" w:sz="0" w:space="0" w:color="auto"/>
          </w:divBdr>
        </w:div>
        <w:div w:id="1823041925">
          <w:marLeft w:val="0"/>
          <w:marRight w:val="0"/>
          <w:marTop w:val="0"/>
          <w:marBottom w:val="0"/>
          <w:divBdr>
            <w:top w:val="none" w:sz="0" w:space="0" w:color="auto"/>
            <w:left w:val="none" w:sz="0" w:space="0" w:color="auto"/>
            <w:bottom w:val="none" w:sz="0" w:space="0" w:color="auto"/>
            <w:right w:val="none" w:sz="0" w:space="0" w:color="auto"/>
          </w:divBdr>
        </w:div>
      </w:divsChild>
    </w:div>
    <w:div w:id="1730761647">
      <w:bodyDiv w:val="1"/>
      <w:marLeft w:val="0"/>
      <w:marRight w:val="0"/>
      <w:marTop w:val="0"/>
      <w:marBottom w:val="0"/>
      <w:divBdr>
        <w:top w:val="none" w:sz="0" w:space="0" w:color="auto"/>
        <w:left w:val="none" w:sz="0" w:space="0" w:color="auto"/>
        <w:bottom w:val="none" w:sz="0" w:space="0" w:color="auto"/>
        <w:right w:val="none" w:sz="0" w:space="0" w:color="auto"/>
      </w:divBdr>
      <w:divsChild>
        <w:div w:id="311954287">
          <w:marLeft w:val="150"/>
          <w:marRight w:val="150"/>
          <w:marTop w:val="0"/>
          <w:marBottom w:val="150"/>
          <w:divBdr>
            <w:top w:val="none" w:sz="0" w:space="0" w:color="auto"/>
            <w:left w:val="none" w:sz="0" w:space="0" w:color="auto"/>
            <w:bottom w:val="none" w:sz="0" w:space="0" w:color="auto"/>
            <w:right w:val="none" w:sz="0" w:space="0" w:color="auto"/>
          </w:divBdr>
        </w:div>
        <w:div w:id="1040974437">
          <w:marLeft w:val="0"/>
          <w:marRight w:val="0"/>
          <w:marTop w:val="0"/>
          <w:marBottom w:val="0"/>
          <w:divBdr>
            <w:top w:val="none" w:sz="0" w:space="0" w:color="auto"/>
            <w:left w:val="none" w:sz="0" w:space="0" w:color="auto"/>
            <w:bottom w:val="none" w:sz="0" w:space="0" w:color="auto"/>
            <w:right w:val="none" w:sz="0" w:space="0" w:color="auto"/>
          </w:divBdr>
        </w:div>
      </w:divsChild>
    </w:div>
    <w:div w:id="1739012674">
      <w:bodyDiv w:val="1"/>
      <w:marLeft w:val="0"/>
      <w:marRight w:val="0"/>
      <w:marTop w:val="0"/>
      <w:marBottom w:val="0"/>
      <w:divBdr>
        <w:top w:val="none" w:sz="0" w:space="0" w:color="auto"/>
        <w:left w:val="none" w:sz="0" w:space="0" w:color="auto"/>
        <w:bottom w:val="none" w:sz="0" w:space="0" w:color="auto"/>
        <w:right w:val="none" w:sz="0" w:space="0" w:color="auto"/>
      </w:divBdr>
      <w:divsChild>
        <w:div w:id="888809811">
          <w:marLeft w:val="0"/>
          <w:marRight w:val="0"/>
          <w:marTop w:val="0"/>
          <w:marBottom w:val="0"/>
          <w:divBdr>
            <w:top w:val="none" w:sz="0" w:space="0" w:color="auto"/>
            <w:left w:val="none" w:sz="0" w:space="0" w:color="auto"/>
            <w:bottom w:val="none" w:sz="0" w:space="0" w:color="auto"/>
            <w:right w:val="none" w:sz="0" w:space="0" w:color="auto"/>
          </w:divBdr>
          <w:divsChild>
            <w:div w:id="1522357731">
              <w:marLeft w:val="300"/>
              <w:marRight w:val="300"/>
              <w:marTop w:val="300"/>
              <w:marBottom w:val="300"/>
              <w:divBdr>
                <w:top w:val="none" w:sz="0" w:space="0" w:color="auto"/>
                <w:left w:val="none" w:sz="0" w:space="0" w:color="auto"/>
                <w:bottom w:val="none" w:sz="0" w:space="0" w:color="auto"/>
                <w:right w:val="none" w:sz="0" w:space="0" w:color="auto"/>
              </w:divBdr>
            </w:div>
            <w:div w:id="126046320">
              <w:marLeft w:val="0"/>
              <w:marRight w:val="0"/>
              <w:marTop w:val="0"/>
              <w:marBottom w:val="0"/>
              <w:divBdr>
                <w:top w:val="none" w:sz="0" w:space="0" w:color="auto"/>
                <w:left w:val="none" w:sz="0" w:space="0" w:color="auto"/>
                <w:bottom w:val="none" w:sz="0" w:space="0" w:color="auto"/>
                <w:right w:val="none" w:sz="0" w:space="0" w:color="auto"/>
              </w:divBdr>
            </w:div>
            <w:div w:id="12377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2312">
      <w:bodyDiv w:val="1"/>
      <w:marLeft w:val="0"/>
      <w:marRight w:val="0"/>
      <w:marTop w:val="0"/>
      <w:marBottom w:val="0"/>
      <w:divBdr>
        <w:top w:val="none" w:sz="0" w:space="0" w:color="auto"/>
        <w:left w:val="none" w:sz="0" w:space="0" w:color="auto"/>
        <w:bottom w:val="none" w:sz="0" w:space="0" w:color="auto"/>
        <w:right w:val="none" w:sz="0" w:space="0" w:color="auto"/>
      </w:divBdr>
      <w:divsChild>
        <w:div w:id="1801650393">
          <w:marLeft w:val="150"/>
          <w:marRight w:val="150"/>
          <w:marTop w:val="0"/>
          <w:marBottom w:val="150"/>
          <w:divBdr>
            <w:top w:val="none" w:sz="0" w:space="0" w:color="auto"/>
            <w:left w:val="none" w:sz="0" w:space="0" w:color="auto"/>
            <w:bottom w:val="none" w:sz="0" w:space="0" w:color="auto"/>
            <w:right w:val="none" w:sz="0" w:space="0" w:color="auto"/>
          </w:divBdr>
        </w:div>
        <w:div w:id="2827406">
          <w:marLeft w:val="0"/>
          <w:marRight w:val="0"/>
          <w:marTop w:val="0"/>
          <w:marBottom w:val="0"/>
          <w:divBdr>
            <w:top w:val="none" w:sz="0" w:space="0" w:color="auto"/>
            <w:left w:val="none" w:sz="0" w:space="0" w:color="auto"/>
            <w:bottom w:val="none" w:sz="0" w:space="0" w:color="auto"/>
            <w:right w:val="none" w:sz="0" w:space="0" w:color="auto"/>
          </w:divBdr>
        </w:div>
      </w:divsChild>
    </w:div>
    <w:div w:id="1767193666">
      <w:bodyDiv w:val="1"/>
      <w:marLeft w:val="0"/>
      <w:marRight w:val="0"/>
      <w:marTop w:val="0"/>
      <w:marBottom w:val="0"/>
      <w:divBdr>
        <w:top w:val="none" w:sz="0" w:space="0" w:color="auto"/>
        <w:left w:val="none" w:sz="0" w:space="0" w:color="auto"/>
        <w:bottom w:val="none" w:sz="0" w:space="0" w:color="auto"/>
        <w:right w:val="none" w:sz="0" w:space="0" w:color="auto"/>
      </w:divBdr>
      <w:divsChild>
        <w:div w:id="1925339195">
          <w:marLeft w:val="150"/>
          <w:marRight w:val="150"/>
          <w:marTop w:val="0"/>
          <w:marBottom w:val="150"/>
          <w:divBdr>
            <w:top w:val="none" w:sz="0" w:space="0" w:color="auto"/>
            <w:left w:val="none" w:sz="0" w:space="0" w:color="auto"/>
            <w:bottom w:val="none" w:sz="0" w:space="0" w:color="auto"/>
            <w:right w:val="none" w:sz="0" w:space="0" w:color="auto"/>
          </w:divBdr>
        </w:div>
        <w:div w:id="1646934250">
          <w:marLeft w:val="0"/>
          <w:marRight w:val="0"/>
          <w:marTop w:val="0"/>
          <w:marBottom w:val="0"/>
          <w:divBdr>
            <w:top w:val="none" w:sz="0" w:space="0" w:color="auto"/>
            <w:left w:val="none" w:sz="0" w:space="0" w:color="auto"/>
            <w:bottom w:val="none" w:sz="0" w:space="0" w:color="auto"/>
            <w:right w:val="none" w:sz="0" w:space="0" w:color="auto"/>
          </w:divBdr>
        </w:div>
      </w:divsChild>
    </w:div>
    <w:div w:id="1797068460">
      <w:bodyDiv w:val="1"/>
      <w:marLeft w:val="0"/>
      <w:marRight w:val="0"/>
      <w:marTop w:val="0"/>
      <w:marBottom w:val="0"/>
      <w:divBdr>
        <w:top w:val="none" w:sz="0" w:space="0" w:color="auto"/>
        <w:left w:val="none" w:sz="0" w:space="0" w:color="auto"/>
        <w:bottom w:val="none" w:sz="0" w:space="0" w:color="auto"/>
        <w:right w:val="none" w:sz="0" w:space="0" w:color="auto"/>
      </w:divBdr>
      <w:divsChild>
        <w:div w:id="1674995084">
          <w:marLeft w:val="300"/>
          <w:marRight w:val="300"/>
          <w:marTop w:val="0"/>
          <w:marBottom w:val="0"/>
          <w:divBdr>
            <w:top w:val="none" w:sz="0" w:space="0" w:color="auto"/>
            <w:left w:val="none" w:sz="0" w:space="0" w:color="auto"/>
            <w:bottom w:val="none" w:sz="0" w:space="0" w:color="auto"/>
            <w:right w:val="none" w:sz="0" w:space="0" w:color="auto"/>
          </w:divBdr>
        </w:div>
        <w:div w:id="1671134460">
          <w:marLeft w:val="0"/>
          <w:marRight w:val="0"/>
          <w:marTop w:val="0"/>
          <w:marBottom w:val="0"/>
          <w:divBdr>
            <w:top w:val="none" w:sz="0" w:space="0" w:color="auto"/>
            <w:left w:val="none" w:sz="0" w:space="0" w:color="auto"/>
            <w:bottom w:val="none" w:sz="0" w:space="0" w:color="auto"/>
            <w:right w:val="none" w:sz="0" w:space="0" w:color="auto"/>
          </w:divBdr>
        </w:div>
      </w:divsChild>
    </w:div>
    <w:div w:id="1840072648">
      <w:bodyDiv w:val="1"/>
      <w:marLeft w:val="0"/>
      <w:marRight w:val="0"/>
      <w:marTop w:val="0"/>
      <w:marBottom w:val="0"/>
      <w:divBdr>
        <w:top w:val="none" w:sz="0" w:space="0" w:color="auto"/>
        <w:left w:val="none" w:sz="0" w:space="0" w:color="auto"/>
        <w:bottom w:val="none" w:sz="0" w:space="0" w:color="auto"/>
        <w:right w:val="none" w:sz="0" w:space="0" w:color="auto"/>
      </w:divBdr>
      <w:divsChild>
        <w:div w:id="1016266918">
          <w:marLeft w:val="150"/>
          <w:marRight w:val="150"/>
          <w:marTop w:val="0"/>
          <w:marBottom w:val="150"/>
          <w:divBdr>
            <w:top w:val="none" w:sz="0" w:space="0" w:color="auto"/>
            <w:left w:val="none" w:sz="0" w:space="0" w:color="auto"/>
            <w:bottom w:val="none" w:sz="0" w:space="0" w:color="auto"/>
            <w:right w:val="none" w:sz="0" w:space="0" w:color="auto"/>
          </w:divBdr>
        </w:div>
        <w:div w:id="1485580903">
          <w:marLeft w:val="0"/>
          <w:marRight w:val="0"/>
          <w:marTop w:val="0"/>
          <w:marBottom w:val="0"/>
          <w:divBdr>
            <w:top w:val="none" w:sz="0" w:space="0" w:color="auto"/>
            <w:left w:val="none" w:sz="0" w:space="0" w:color="auto"/>
            <w:bottom w:val="none" w:sz="0" w:space="0" w:color="auto"/>
            <w:right w:val="none" w:sz="0" w:space="0" w:color="auto"/>
          </w:divBdr>
        </w:div>
      </w:divsChild>
    </w:div>
    <w:div w:id="1847549019">
      <w:bodyDiv w:val="1"/>
      <w:marLeft w:val="0"/>
      <w:marRight w:val="0"/>
      <w:marTop w:val="0"/>
      <w:marBottom w:val="0"/>
      <w:divBdr>
        <w:top w:val="none" w:sz="0" w:space="0" w:color="auto"/>
        <w:left w:val="none" w:sz="0" w:space="0" w:color="auto"/>
        <w:bottom w:val="none" w:sz="0" w:space="0" w:color="auto"/>
        <w:right w:val="none" w:sz="0" w:space="0" w:color="auto"/>
      </w:divBdr>
      <w:divsChild>
        <w:div w:id="646671961">
          <w:marLeft w:val="150"/>
          <w:marRight w:val="150"/>
          <w:marTop w:val="0"/>
          <w:marBottom w:val="150"/>
          <w:divBdr>
            <w:top w:val="none" w:sz="0" w:space="0" w:color="auto"/>
            <w:left w:val="none" w:sz="0" w:space="0" w:color="auto"/>
            <w:bottom w:val="none" w:sz="0" w:space="0" w:color="auto"/>
            <w:right w:val="none" w:sz="0" w:space="0" w:color="auto"/>
          </w:divBdr>
        </w:div>
        <w:div w:id="1777291509">
          <w:marLeft w:val="0"/>
          <w:marRight w:val="0"/>
          <w:marTop w:val="0"/>
          <w:marBottom w:val="0"/>
          <w:divBdr>
            <w:top w:val="none" w:sz="0" w:space="0" w:color="auto"/>
            <w:left w:val="none" w:sz="0" w:space="0" w:color="auto"/>
            <w:bottom w:val="none" w:sz="0" w:space="0" w:color="auto"/>
            <w:right w:val="none" w:sz="0" w:space="0" w:color="auto"/>
          </w:divBdr>
        </w:div>
      </w:divsChild>
    </w:div>
    <w:div w:id="1880168687">
      <w:bodyDiv w:val="1"/>
      <w:marLeft w:val="0"/>
      <w:marRight w:val="0"/>
      <w:marTop w:val="0"/>
      <w:marBottom w:val="0"/>
      <w:divBdr>
        <w:top w:val="none" w:sz="0" w:space="0" w:color="auto"/>
        <w:left w:val="none" w:sz="0" w:space="0" w:color="auto"/>
        <w:bottom w:val="none" w:sz="0" w:space="0" w:color="auto"/>
        <w:right w:val="none" w:sz="0" w:space="0" w:color="auto"/>
      </w:divBdr>
      <w:divsChild>
        <w:div w:id="1110122833">
          <w:marLeft w:val="150"/>
          <w:marRight w:val="150"/>
          <w:marTop w:val="0"/>
          <w:marBottom w:val="150"/>
          <w:divBdr>
            <w:top w:val="none" w:sz="0" w:space="0" w:color="auto"/>
            <w:left w:val="none" w:sz="0" w:space="0" w:color="auto"/>
            <w:bottom w:val="none" w:sz="0" w:space="0" w:color="auto"/>
            <w:right w:val="none" w:sz="0" w:space="0" w:color="auto"/>
          </w:divBdr>
        </w:div>
        <w:div w:id="527565126">
          <w:marLeft w:val="0"/>
          <w:marRight w:val="0"/>
          <w:marTop w:val="0"/>
          <w:marBottom w:val="0"/>
          <w:divBdr>
            <w:top w:val="none" w:sz="0" w:space="0" w:color="auto"/>
            <w:left w:val="none" w:sz="0" w:space="0" w:color="auto"/>
            <w:bottom w:val="none" w:sz="0" w:space="0" w:color="auto"/>
            <w:right w:val="none" w:sz="0" w:space="0" w:color="auto"/>
          </w:divBdr>
        </w:div>
      </w:divsChild>
    </w:div>
    <w:div w:id="1988589349">
      <w:bodyDiv w:val="1"/>
      <w:marLeft w:val="0"/>
      <w:marRight w:val="0"/>
      <w:marTop w:val="0"/>
      <w:marBottom w:val="0"/>
      <w:divBdr>
        <w:top w:val="none" w:sz="0" w:space="0" w:color="auto"/>
        <w:left w:val="none" w:sz="0" w:space="0" w:color="auto"/>
        <w:bottom w:val="none" w:sz="0" w:space="0" w:color="auto"/>
        <w:right w:val="none" w:sz="0" w:space="0" w:color="auto"/>
      </w:divBdr>
      <w:divsChild>
        <w:div w:id="1546213588">
          <w:marLeft w:val="150"/>
          <w:marRight w:val="150"/>
          <w:marTop w:val="0"/>
          <w:marBottom w:val="150"/>
          <w:divBdr>
            <w:top w:val="none" w:sz="0" w:space="0" w:color="auto"/>
            <w:left w:val="none" w:sz="0" w:space="0" w:color="auto"/>
            <w:bottom w:val="none" w:sz="0" w:space="0" w:color="auto"/>
            <w:right w:val="none" w:sz="0" w:space="0" w:color="auto"/>
          </w:divBdr>
        </w:div>
        <w:div w:id="1781414602">
          <w:marLeft w:val="0"/>
          <w:marRight w:val="0"/>
          <w:marTop w:val="0"/>
          <w:marBottom w:val="0"/>
          <w:divBdr>
            <w:top w:val="none" w:sz="0" w:space="0" w:color="auto"/>
            <w:left w:val="none" w:sz="0" w:space="0" w:color="auto"/>
            <w:bottom w:val="none" w:sz="0" w:space="0" w:color="auto"/>
            <w:right w:val="none" w:sz="0" w:space="0" w:color="auto"/>
          </w:divBdr>
        </w:div>
      </w:divsChild>
    </w:div>
    <w:div w:id="2031252563">
      <w:bodyDiv w:val="1"/>
      <w:marLeft w:val="0"/>
      <w:marRight w:val="0"/>
      <w:marTop w:val="0"/>
      <w:marBottom w:val="0"/>
      <w:divBdr>
        <w:top w:val="none" w:sz="0" w:space="0" w:color="auto"/>
        <w:left w:val="none" w:sz="0" w:space="0" w:color="auto"/>
        <w:bottom w:val="none" w:sz="0" w:space="0" w:color="auto"/>
        <w:right w:val="none" w:sz="0" w:space="0" w:color="auto"/>
      </w:divBdr>
      <w:divsChild>
        <w:div w:id="2052993055">
          <w:marLeft w:val="150"/>
          <w:marRight w:val="150"/>
          <w:marTop w:val="0"/>
          <w:marBottom w:val="150"/>
          <w:divBdr>
            <w:top w:val="none" w:sz="0" w:space="0" w:color="auto"/>
            <w:left w:val="none" w:sz="0" w:space="0" w:color="auto"/>
            <w:bottom w:val="none" w:sz="0" w:space="0" w:color="auto"/>
            <w:right w:val="none" w:sz="0" w:space="0" w:color="auto"/>
          </w:divBdr>
        </w:div>
        <w:div w:id="971135976">
          <w:marLeft w:val="0"/>
          <w:marRight w:val="0"/>
          <w:marTop w:val="0"/>
          <w:marBottom w:val="0"/>
          <w:divBdr>
            <w:top w:val="none" w:sz="0" w:space="0" w:color="auto"/>
            <w:left w:val="none" w:sz="0" w:space="0" w:color="auto"/>
            <w:bottom w:val="none" w:sz="0" w:space="0" w:color="auto"/>
            <w:right w:val="none" w:sz="0" w:space="0" w:color="auto"/>
          </w:divBdr>
        </w:div>
      </w:divsChild>
    </w:div>
    <w:div w:id="2105606728">
      <w:bodyDiv w:val="1"/>
      <w:marLeft w:val="0"/>
      <w:marRight w:val="0"/>
      <w:marTop w:val="0"/>
      <w:marBottom w:val="0"/>
      <w:divBdr>
        <w:top w:val="none" w:sz="0" w:space="0" w:color="auto"/>
        <w:left w:val="none" w:sz="0" w:space="0" w:color="auto"/>
        <w:bottom w:val="none" w:sz="0" w:space="0" w:color="auto"/>
        <w:right w:val="none" w:sz="0" w:space="0" w:color="auto"/>
      </w:divBdr>
      <w:divsChild>
        <w:div w:id="593590247">
          <w:marLeft w:val="150"/>
          <w:marRight w:val="150"/>
          <w:marTop w:val="0"/>
          <w:marBottom w:val="150"/>
          <w:divBdr>
            <w:top w:val="none" w:sz="0" w:space="0" w:color="auto"/>
            <w:left w:val="none" w:sz="0" w:space="0" w:color="auto"/>
            <w:bottom w:val="none" w:sz="0" w:space="0" w:color="auto"/>
            <w:right w:val="none" w:sz="0" w:space="0" w:color="auto"/>
          </w:divBdr>
        </w:div>
        <w:div w:id="33238981">
          <w:marLeft w:val="0"/>
          <w:marRight w:val="0"/>
          <w:marTop w:val="0"/>
          <w:marBottom w:val="0"/>
          <w:divBdr>
            <w:top w:val="none" w:sz="0" w:space="0" w:color="auto"/>
            <w:left w:val="none" w:sz="0" w:space="0" w:color="auto"/>
            <w:bottom w:val="none" w:sz="0" w:space="0" w:color="auto"/>
            <w:right w:val="none" w:sz="0" w:space="0" w:color="auto"/>
          </w:divBdr>
        </w:div>
      </w:divsChild>
    </w:div>
    <w:div w:id="2135368363">
      <w:bodyDiv w:val="1"/>
      <w:marLeft w:val="0"/>
      <w:marRight w:val="0"/>
      <w:marTop w:val="0"/>
      <w:marBottom w:val="0"/>
      <w:divBdr>
        <w:top w:val="none" w:sz="0" w:space="0" w:color="auto"/>
        <w:left w:val="none" w:sz="0" w:space="0" w:color="auto"/>
        <w:bottom w:val="none" w:sz="0" w:space="0" w:color="auto"/>
        <w:right w:val="none" w:sz="0" w:space="0" w:color="auto"/>
      </w:divBdr>
      <w:divsChild>
        <w:div w:id="1102145031">
          <w:marLeft w:val="150"/>
          <w:marRight w:val="150"/>
          <w:marTop w:val="0"/>
          <w:marBottom w:val="150"/>
          <w:divBdr>
            <w:top w:val="none" w:sz="0" w:space="0" w:color="auto"/>
            <w:left w:val="none" w:sz="0" w:space="0" w:color="auto"/>
            <w:bottom w:val="none" w:sz="0" w:space="0" w:color="auto"/>
            <w:right w:val="none" w:sz="0" w:space="0" w:color="auto"/>
          </w:divBdr>
        </w:div>
        <w:div w:id="1057897882">
          <w:marLeft w:val="0"/>
          <w:marRight w:val="0"/>
          <w:marTop w:val="0"/>
          <w:marBottom w:val="0"/>
          <w:divBdr>
            <w:top w:val="none" w:sz="0" w:space="0" w:color="auto"/>
            <w:left w:val="none" w:sz="0" w:space="0" w:color="auto"/>
            <w:bottom w:val="none" w:sz="0" w:space="0" w:color="auto"/>
            <w:right w:val="none" w:sz="0" w:space="0" w:color="auto"/>
          </w:divBdr>
        </w:div>
      </w:divsChild>
    </w:div>
    <w:div w:id="214083094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150"/>
          <w:marRight w:val="150"/>
          <w:marTop w:val="0"/>
          <w:marBottom w:val="150"/>
          <w:divBdr>
            <w:top w:val="none" w:sz="0" w:space="0" w:color="auto"/>
            <w:left w:val="none" w:sz="0" w:space="0" w:color="auto"/>
            <w:bottom w:val="none" w:sz="0" w:space="0" w:color="auto"/>
            <w:right w:val="none" w:sz="0" w:space="0" w:color="auto"/>
          </w:divBdr>
        </w:div>
        <w:div w:id="212889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window.close()" TargetMode="External"/><Relationship Id="rId5"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1600</Words>
  <Characters>9123</Characters>
  <Application>Microsoft Office Word</Application>
  <DocSecurity>0</DocSecurity>
  <Lines>76</Lines>
  <Paragraphs>21</Paragraphs>
  <ScaleCrop>false</ScaleCrop>
  <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2018-05-11T06:01:00Z</dcterms:created>
  <dcterms:modified xsi:type="dcterms:W3CDTF">2018-05-11T06:01:00Z</dcterms:modified>
</cp:coreProperties>
</file>