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26" w:rsidRPr="00867126" w:rsidRDefault="00867126" w:rsidP="00867126">
      <w:pPr>
        <w:widowControl/>
        <w:spacing w:line="750" w:lineRule="atLeast"/>
        <w:jc w:val="center"/>
        <w:rPr>
          <w:rFonts w:ascii="黑体" w:eastAsia="黑体" w:hAnsi="黑体" w:cs="宋体"/>
          <w:color w:val="0C5384"/>
          <w:kern w:val="0"/>
          <w:sz w:val="36"/>
          <w:szCs w:val="36"/>
        </w:rPr>
      </w:pPr>
      <w:bookmarkStart w:id="0" w:name="_GoBack"/>
      <w:r w:rsidRPr="00867126">
        <w:rPr>
          <w:rFonts w:ascii="黑体" w:eastAsia="黑体" w:hAnsi="黑体" w:cs="宋体" w:hint="eastAsia"/>
          <w:color w:val="0C5384"/>
          <w:kern w:val="0"/>
          <w:sz w:val="36"/>
          <w:szCs w:val="36"/>
        </w:rPr>
        <w:t>余江县投资政策</w:t>
      </w:r>
    </w:p>
    <w:bookmarkEnd w:id="0"/>
    <w:p w:rsidR="00867126" w:rsidRPr="00867126" w:rsidRDefault="00867126" w:rsidP="00867126">
      <w:pPr>
        <w:widowControl/>
        <w:spacing w:line="375" w:lineRule="atLeast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867126">
        <w:rPr>
          <w:rFonts w:ascii="宋体" w:eastAsia="宋体" w:hAnsi="宋体" w:cs="宋体"/>
          <w:color w:val="666666"/>
          <w:kern w:val="0"/>
          <w:sz w:val="18"/>
          <w:szCs w:val="18"/>
        </w:rPr>
        <w:t>发表日期：2011-11-16</w:t>
      </w:r>
    </w:p>
    <w:p w:rsidR="00867126" w:rsidRPr="00867126" w:rsidRDefault="00867126" w:rsidP="00867126">
      <w:pPr>
        <w:widowControl/>
        <w:shd w:val="clear" w:color="auto" w:fill="FFFFFF"/>
        <w:spacing w:line="60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867126">
        <w:rPr>
          <w:rFonts w:ascii="simsun" w:eastAsia="宋体" w:hAnsi="simsun" w:cs="宋体"/>
          <w:color w:val="000000"/>
          <w:kern w:val="0"/>
          <w:szCs w:val="21"/>
        </w:rPr>
        <w:t xml:space="preserve">　　</w:t>
      </w:r>
      <w:r w:rsidRPr="00867126">
        <w:rPr>
          <w:rFonts w:ascii="simsun" w:eastAsia="宋体" w:hAnsi="simsun" w:cs="宋体"/>
          <w:color w:val="000000"/>
          <w:kern w:val="0"/>
          <w:szCs w:val="21"/>
        </w:rPr>
        <w:br/>
      </w:r>
      <w:r w:rsidRPr="00867126">
        <w:rPr>
          <w:rFonts w:ascii="simsun" w:eastAsia="宋体" w:hAnsi="simsun" w:cs="宋体"/>
          <w:color w:val="000000"/>
          <w:kern w:val="0"/>
          <w:szCs w:val="21"/>
        </w:rPr>
        <w:t xml:space="preserve">　</w:t>
      </w:r>
      <w:r w:rsidRPr="00867126">
        <w:rPr>
          <w:rFonts w:ascii="simsun" w:eastAsia="宋体" w:hAnsi="simsun" w:cs="宋体"/>
          <w:color w:val="000000"/>
          <w:kern w:val="0"/>
          <w:szCs w:val="21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 xml:space="preserve">　一、工业项目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（一）土地政策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）凡落户余江的工业项目，其固定资产投资强度不低于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/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亩。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）余江土地提供给工业企业使用，按国家现行土地政策执行最低出让价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6.4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/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亩。企业竣工投产后，可视项目、投资规模及创税能力，采取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“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一事一议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”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，给予企业特殊扶持政策，具体标准在协议和合同中予以约定。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）土地使用权的最高年限为：居住用地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70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年；工业、农业综合开发、教育、文化、卫生、体育用地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年；商业、旅游、娱乐用地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40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年；综合或其他用地为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（二）税收政策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凡在余江投资兴办工业企业或现有企业新上工业项目，除享受国家、省、市有关鼓励政策外，还可享受本优惠办法。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）年缴纳增值税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50—200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万元的，超过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万元部分的地方财政实得，由受益财政奖励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，连续奖励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）年缴纳增值税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200—400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万元的，由受益财政奖励地方财政实得部分的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60%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，连续奖励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）年缴纳增值税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400—1000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万元的，由受益财政奖励地方财政实得部分的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70%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，连续奖励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4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）年缴纳增值税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万元以上的，超过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万元部分的地方财政实得，由受益财政予以全额奖励，连续奖励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）自获利年度起，企业所得税地方财政实得部分，前三年由受益财政全额奖励，后两年奖励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）对投资特别大的企业，采取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“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一事一议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”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的办法商议有关优惠政策，享受特别扶持。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 xml:space="preserve">　二、总部经济、楼宇经济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凡在余江县办理工商注册登记，在鹰潭市外销售货物或提供其它应税业务收入在余江纳税的企业，可享受如下优惠政策：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 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营业税及附加：年纳税额在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万元以下的，按地方实得的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70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％奖励给企业；年纳税额在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万元（含）以上的，按地方实得的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80%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奖励给企业；兑现奖励后地方实得超过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万元以上的部分全额奖励给企业。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）增值税及附加：年纳税额在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万元以下的，按地方实得的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70%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奖励给企业；年纳税额在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万元（含）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-300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80 %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奖励给企业；年纳税额在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万元（含）以上的，按地方实得的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90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％奖励给企业；兑现奖励后地方实得超过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50 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万元以上的部分全额奖励给企业。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）所得税：年纳税额在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万元以下的，按地方实得的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80%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奖励给企业；年纳税额在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万元（含）以上的，按地方实得的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90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％奖励给企业；兑现奖励后地方实得超过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万元以上的部分全额奖励给企业。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4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）对纳税额较大的企业实行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“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一事一议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”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的政策。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三、投融资公司、合伙企业转让限售股及个人转让上市公司限售股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（一）投融资公司、合伙企业转让限售股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）对纳税企业的奖励：按企业营业税和企业所得税地方实得部分总和的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80%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）对纳税个人的奖励：按个人所得税地方实得部分的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90%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奖励。</w:t>
      </w:r>
    </w:p>
    <w:p w:rsidR="00867126" w:rsidRPr="00867126" w:rsidRDefault="00867126" w:rsidP="00867126">
      <w:pPr>
        <w:widowControl/>
        <w:shd w:val="clear" w:color="auto" w:fill="FFFFFF"/>
        <w:spacing w:line="60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）投融资公司、合伙企业转让限售股流程：</w:t>
      </w:r>
    </w:p>
    <w:p w:rsidR="00867126" w:rsidRPr="00867126" w:rsidRDefault="00867126" w:rsidP="00867126">
      <w:pPr>
        <w:widowControl/>
        <w:shd w:val="clear" w:color="auto" w:fill="FFFFFF"/>
        <w:spacing w:line="60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867126">
        <w:rPr>
          <w:rFonts w:ascii="simsun" w:eastAsia="宋体" w:hAnsi="simsun" w:cs="宋体" w:hint="eastAsia"/>
          <w:noProof/>
          <w:color w:val="000000"/>
          <w:kern w:val="0"/>
          <w:sz w:val="30"/>
          <w:szCs w:val="30"/>
        </w:rPr>
        <w:drawing>
          <wp:inline distT="0" distB="0" distL="0" distR="0">
            <wp:extent cx="4267200" cy="3270250"/>
            <wp:effectExtent l="0" t="0" r="0" b="0"/>
            <wp:docPr id="1" name="图片 1" descr="http://www.yujiang.gov.cn/xtzyj/xzcfg/201211/W020121102388110406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jiang.gov.cn/xtzyj/xzcfg/201211/W02012110238811040644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26" w:rsidRPr="00867126" w:rsidRDefault="00867126" w:rsidP="00867126">
      <w:pPr>
        <w:widowControl/>
        <w:shd w:val="clear" w:color="auto" w:fill="FFFFFF"/>
        <w:spacing w:line="60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867126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867126" w:rsidRPr="00867126" w:rsidRDefault="00867126" w:rsidP="00867126">
      <w:pPr>
        <w:widowControl/>
        <w:shd w:val="clear" w:color="auto" w:fill="FFFFFF"/>
        <w:spacing w:line="60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867126">
        <w:rPr>
          <w:rFonts w:ascii="simsun" w:eastAsia="宋体" w:hAnsi="simsun" w:cs="宋体"/>
          <w:color w:val="000000"/>
          <w:kern w:val="0"/>
          <w:szCs w:val="21"/>
        </w:rPr>
        <w:lastRenderedPageBreak/>
        <w:t> </w:t>
      </w:r>
    </w:p>
    <w:p w:rsidR="00867126" w:rsidRPr="00867126" w:rsidRDefault="00867126" w:rsidP="00867126">
      <w:pPr>
        <w:widowControl/>
        <w:shd w:val="clear" w:color="auto" w:fill="FFFFFF"/>
        <w:spacing w:line="60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（二）个人转让上市公司限售股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对纳税人的奖励：个人所得税地方实得部分的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90%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奖励给纳税人（奖励须征收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的个人所得税）。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四、金融业</w:t>
      </w:r>
      <w:r w:rsidRPr="00867126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（一）对新组建且在余江县缴纳企业营业税、所得税的银行业金融机构、非银行金融机构（包括财务公司、信托公司、金融资产管理公司、金融租赁公司），前三年由县财政按其当年纳税总额予以奖励：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）纳税总额在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万元以内的每年奖励其所缴所得税地方实得部分的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，营业税的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2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）纳税总额在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-300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万元的每年奖励其所缴所得税地方实得部分的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65%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，营业税的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65%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）纳税总额在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万元以上的每年奖励其所缴所得税地方实得部分的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80%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，营业税的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80%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；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第四年至第五年，每年</w:t>
      </w:r>
      <w:proofErr w:type="gramStart"/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奖励按</w:t>
      </w:r>
      <w:proofErr w:type="gramEnd"/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该企业所缴的所得税较上一年增幅部分中地方实得的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；营业税较上一年增幅部分的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50%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。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br/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 xml:space="preserve">　　（二）对新引进的注册资金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3000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万元以上的金融机构（</w:t>
      </w:r>
      <w:proofErr w:type="gramStart"/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含准金融</w:t>
      </w:r>
      <w:proofErr w:type="gramEnd"/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机构）总部、分和地、支行或其他分支机构的主要负责人，副职以上的高管人员，由县财政按其缴纳的个人所得税地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方实得部分予以全额奖励，期限为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3</w:t>
      </w:r>
      <w:r w:rsidRPr="00867126">
        <w:rPr>
          <w:rFonts w:ascii="simsun" w:eastAsia="宋体" w:hAnsi="simsun" w:cs="宋体"/>
          <w:color w:val="000000"/>
          <w:kern w:val="0"/>
          <w:sz w:val="30"/>
          <w:szCs w:val="30"/>
        </w:rPr>
        <w:t>年。对其在办理家属随迁手续、医疗保健、子女入学、出入境管理等方面，由相关部门在政策范围内提供便利。</w:t>
      </w:r>
    </w:p>
    <w:p w:rsidR="00E30C74" w:rsidRPr="00867126" w:rsidRDefault="00E30C74"/>
    <w:sectPr w:rsidR="00E30C74" w:rsidRPr="0086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26"/>
    <w:rsid w:val="00867126"/>
    <w:rsid w:val="00E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7F9F2-E381-42AB-AC41-B2C3D027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1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7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2018-05-07T07:35:00Z</dcterms:created>
  <dcterms:modified xsi:type="dcterms:W3CDTF">2018-05-07T07:36:00Z</dcterms:modified>
</cp:coreProperties>
</file>