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A4E" w:rsidRPr="00EF7A4E" w:rsidRDefault="00EF7A4E" w:rsidP="00EF7A4E">
      <w:pPr>
        <w:widowControl/>
        <w:spacing w:line="630" w:lineRule="atLeast"/>
        <w:jc w:val="center"/>
        <w:rPr>
          <w:rFonts w:ascii="&amp;quot" w:eastAsia="宋体" w:hAnsi="&amp;quot" w:cs="宋体"/>
          <w:color w:val="D51616"/>
          <w:kern w:val="0"/>
          <w:sz w:val="39"/>
          <w:szCs w:val="39"/>
        </w:rPr>
      </w:pPr>
      <w:r w:rsidRPr="00EF7A4E">
        <w:rPr>
          <w:rFonts w:ascii="&amp;quot" w:eastAsia="宋体" w:hAnsi="&amp;quot" w:cs="宋体"/>
          <w:color w:val="D51616"/>
          <w:kern w:val="0"/>
          <w:sz w:val="39"/>
          <w:szCs w:val="39"/>
        </w:rPr>
        <w:t>亳州市人民政府办公室关于落实支持技工大建设若</w:t>
      </w:r>
      <w:proofErr w:type="gramStart"/>
      <w:r w:rsidRPr="00EF7A4E">
        <w:rPr>
          <w:rFonts w:ascii="&amp;quot" w:eastAsia="宋体" w:hAnsi="&amp;quot" w:cs="宋体"/>
          <w:color w:val="D51616"/>
          <w:kern w:val="0"/>
          <w:sz w:val="39"/>
          <w:szCs w:val="39"/>
        </w:rPr>
        <w:t>干政策</w:t>
      </w:r>
      <w:proofErr w:type="gramEnd"/>
      <w:r w:rsidRPr="00EF7A4E">
        <w:rPr>
          <w:rFonts w:ascii="&amp;quot" w:eastAsia="宋体" w:hAnsi="&amp;quot" w:cs="宋体"/>
          <w:color w:val="D51616"/>
          <w:kern w:val="0"/>
          <w:sz w:val="39"/>
          <w:szCs w:val="39"/>
        </w:rPr>
        <w:t>的实施意见</w:t>
      </w:r>
    </w:p>
    <w:p w:rsidR="00EF7A4E" w:rsidRDefault="00EF7A4E" w:rsidP="00EE4D44">
      <w:pPr>
        <w:pStyle w:val="a3"/>
        <w:shd w:val="clear" w:color="auto" w:fill="FFFFFF"/>
        <w:spacing w:line="540" w:lineRule="atLeast"/>
        <w:rPr>
          <w:rFonts w:ascii="仿宋_GB2312" w:eastAsia="仿宋_GB2312" w:hAnsi="微软雅黑"/>
          <w:color w:val="454545"/>
          <w:sz w:val="30"/>
          <w:szCs w:val="30"/>
        </w:rPr>
      </w:pPr>
      <w:bookmarkStart w:id="0" w:name="_GoBack"/>
      <w:bookmarkEnd w:id="0"/>
    </w:p>
    <w:p w:rsidR="00EE4D44" w:rsidRDefault="00EE4D44" w:rsidP="00EE4D44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仿宋_GB2312" w:eastAsia="仿宋_GB2312" w:hAnsi="微软雅黑" w:hint="eastAsia"/>
          <w:color w:val="454545"/>
          <w:sz w:val="30"/>
          <w:szCs w:val="30"/>
        </w:rPr>
        <w:t>各县、区人民政府，市政府各部门、各直属机构：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为贯彻落实《安徽省人民政府关于印发支持技工大省建设若干政策的通知》（皖政〔2017〕54号）文件精神，积极推进技能强市，全面提升劳动者素质，力争每年完成各类职业培训12.5万人次，职业教育在校生规模达到2.3万人，新培养高技能人才3500人。现结合我市实际，制定本实施意见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一、大力推行终身职业培训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1. 加强重点群体技能培训。对建档立卡的贫困劳动者、退役士兵、就业援助对象开展免费技能培训，培训期间给予生活补助。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2. 开展普通劳动者就业技能培训。农村转移就业劳动者、毕业年度高校毕业生、城乡未继续升学应届初高中毕业生、城镇登记失业人员，自主选择依法设立的培训机构，原则上个人先行付费，培训后取得职业资格证书的（或专项职业能力证书或培训合格证书），按规定申领培训补贴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3. 支持企业开展新录用人员岗前技能培训。企业对签订12个月及以上劳动合同的新录用人员，在劳动合同签订后6个月内组织岗位技能培训的，按培训合格人数，给予企业人均不低于800元补贴。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 xml:space="preserve">　　4. 鼓励企业开展职工岗位技能提升培训及各行业开展系统内培训。鼓励有条件的企业根据自身需求，自建企业内部培训部门或培训中心，发挥自身设备、实际操作技术等优势，自主开展各类职业培训。各行业主管部门（单位）结合行业特点，统筹各类培训资源，支持本行业系统内各类企业开展职业培训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5. 建立健全职业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培训奖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补机制。支持职业院校和培训机构与企业签订培训就业合作协议，开展订单、定向或定岗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式就业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技能培训，对培训质量好、学员留在市内就业人数多的职业院校和培训机构给予绩效奖励。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?二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、发展现代职业教育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6.?推动多元办学。积极发展股份制、混合所有制职业教育办学形式，民办职业院校收费实行自主定价，公办职业院校学费纳入行政事业性收费管理。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7. 开辟公办职业院校重点专业“一体化”教师引进绿色通道。对具有高级技师职业资格且有3年以上企业相应岗位工作经历的人员，可比照高层次人才引进方式办理聘用手续。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8. 建立亳州市职业教育联盟（集团）。以教育部门为主导，组建亳州市职业教育联盟（集团），促进职业院校产教融合、校企合作，实现集约化发展。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9. 支持职业院校毕业生市内就业。鼓励市内企业与学生、职业院校签订紧缺工种技能人才定向培养协议。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 xml:space="preserve">　　10. 鼓励民办职业教育发展。依法依规设立民办教育发展基金，支持成立相应的基金会，推动民办职业教育发展。加强公办、民办职业教育资源的统筹，积极支持各类办学主体通过独资、合资、合作等多种形式举办民办职业教育。对企业举办的职业院校，根据毕业生人数，通过政府购买服务方式给予支持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三、实施高技能人才培养工程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11. 实施高技能人才培训补贴。企业组织技师培训的，按高级技师5000元/人、技师3500元/人的标准直接补给企业；高技能人才培训机构组织技师培训的，按政府购买服务合同履约，人均补贴标准不超过5000元；职工个人以个人名义参加技师培训的，按高级技师5000元/人、技师3500元/人的标准直接补给个人。技师培训补贴从市县就业补助资金中统筹解决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12. 开展名师带高徒活动。对于入选省级技能名师的，在省补贴的基础上，市财政再给予1万元的奖励。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13. 推行企业新型学徒制。推行以“招工即招生、入企即入校、企校双师联合培养”为主要内容的企业新型学徒制，企业所在地同级财政按企业支付给职业院校培训费用的60%给予企业补助，每人每年补助标准最高可达6000元，最长补助期限为2年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14. 推进技能大师工作室建设。依托行业企业、职业院校和培训机构建设一批技能大师工作室，发挥在生产、服务一线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>的高技能领军人才在带徒传技、技能攻关、技能推广等方面的作用。对获批省级的技能大师工作室，由其所在地的同级财政给予5万元的追加奖励。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15. 建设高技能人才培训基地。依托职业院校、大中型企业技能培训中心、公共职业训练基地，对晋升为省级高技能人才培训基地的，同级财政给予50万元的追加奖励。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16. 打造中药产业技能人才品牌。依托安徽亳州技师学院，建设中药产业高技能人才培训基地、技能竞赛基地，支持亳州技师学院扩大招生规模，提升教学质量，打造具有我市特色并在全国有一定影响力的中药产业技能人才品牌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四、 扩大人才引进与交流合作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17. 引进紧缺型技能人才。企业从省外（被引进前，其实际工作地、劳动关系建立地、社会保险缴纳地在安徽省以外的地区）引进急需紧缺的高级技师、技师，与被引进人签订期限劳动合同，并为被引进人办理社会保险参保登记手续，或通过特定项目与被引进人建立劳务关系的，按企业支付给个人的工资薪金或劳务费用总额（税后）的20%给予个人补助，补助资金由同级财政统筹解决。企业从省外引进的中华技能大奖获得者、全国技术能手、世界技能大赛中国队选手、全国职业院校技能大赛一等奖选手（在亳州市外工作1年以上且在工作地缴纳社会保险），与其签订1年以上劳动合同，并安排在关键技能岗位工作的，按支付给个人工资薪金总额 （税后）的50%向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>所在地政府申领引才补助，补助资金由同级财政统筹解决。以上补助期限不超过劳动合同期限或项目完成期限，截止日期为2021年12月31日。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18. 实施“海外金蓝领援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亳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”计划。从海外聘请技能专家到我市职业院校、技工院校任教的，按10000元/月·人标准给予援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亳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津贴，截止日期为2021年12月31日。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五、推动技能人才多元评价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19. 建立优秀技能人才技能资格越级申报、技能等级直接认定制度。支持企业结合岗位需要开展技能人才自主评价，按规定颁发职业资格证书。引导职业院校根据国家职业标准和企业岗位操作规范开发课程、实施教学和学业水平测试，将职业教育办成就业导向的教育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20. 完善政府购买职业技能鉴定服务机制，推动第三方评价机构建设。加快培育社会化评审专家队伍，逐步实现教育培训与技能鉴定分离。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六、发挥技能竞赛引领作用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21. 积极开展各类技能竞赛活动。支持各行业（部门）举办职业技能竞赛，选拔高技能人才。对按规定开展市级职业技能大赛的行业（部门），给予每工种2万元赛事补助。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22. 加大对技能竞赛获奖选手的奖励力度。对市技能竞赛获奖选手给予奖励，对其中获得一等奖且符合市“五一劳动奖章”“三八红旗手”“青年岗位技术能手”等条件的，授予相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>应的荣誉称号。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七、完善技能人才激励政策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23. 建立高技能人才追加奖励机制。对获得安徽省技术能手、安徽省技能大奖获得者 和“江淮杰出工匠”，分别追加奖励1万元、3万元和5万元；获得全国技术能手、中华技能大奖分别追加奖励2万元、5万元。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24. 打通高技能人才与工程技术人才职业发展通道。支持符合条件的高技能人才申报工程系列专业技术人才职称评审，对取得高级职业资格证书的高级技工学校、技师学院毕业生视同大学专科学历，可报考相应的公务员职位，并纳入事业单位公开招聘以及专业技术职称评审范围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25. 鼓励企业建立高技能人才津贴奖励制度。鼓励企业对聘用的高技能人才实行年薪制、股权制、期权制等收入分配方式，实行特殊津贴制度</w:t>
      </w:r>
      <w:proofErr w:type="gramStart"/>
      <w:r>
        <w:rPr>
          <w:rFonts w:ascii="仿宋_GB2312" w:eastAsia="仿宋_GB2312" w:hAnsi="微软雅黑" w:hint="eastAsia"/>
          <w:color w:val="454545"/>
          <w:sz w:val="30"/>
          <w:szCs w:val="30"/>
        </w:rPr>
        <w:t>或奖补政策</w:t>
      </w:r>
      <w:proofErr w:type="gramEnd"/>
      <w:r>
        <w:rPr>
          <w:rFonts w:ascii="仿宋_GB2312" w:eastAsia="仿宋_GB2312" w:hAnsi="微软雅黑" w:hint="eastAsia"/>
          <w:color w:val="454545"/>
          <w:sz w:val="30"/>
          <w:szCs w:val="30"/>
        </w:rPr>
        <w:t>。引导企业对职业院校毕业生确定初次就业待遇水平时，对取得高级工职业资格证书的，按大专毕业生待遇水平确定；对取得技师证书的，按本科毕业生待遇水平确定。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八、营造技能人才发展氛围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26. 加强技能人才政策宣传。利用亳州晚报、亳州广播电视台、公交站台、横幅、宣传手册、宣传展板等传统媒体以及政府网站、微博、微信、手机短信等新兴媒体，广泛宣传技能人才政策。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 xml:space="preserve">　　27. 强化典型人物宣传，注重示范引领作用。利用各种媒体，大力宣传技术能手、技能大奖获得者、“江淮杰出工匠”等先进事迹，发挥典型人物的示范作用，在全社会大力弘扬“工匠精神”，大力营造“劳动光荣、技能宝贵、创造伟大”的社会氛围，努力开创人人皆可成才、人人尽展其才的生动局面。</w:t>
      </w:r>
    </w:p>
    <w:p w:rsidR="00314EDD" w:rsidRDefault="00314EDD"/>
    <w:sectPr w:rsidR="00314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288" w:rsidRDefault="00527288" w:rsidP="00330831">
      <w:r>
        <w:separator/>
      </w:r>
    </w:p>
  </w:endnote>
  <w:endnote w:type="continuationSeparator" w:id="0">
    <w:p w:rsidR="00527288" w:rsidRDefault="00527288" w:rsidP="0033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288" w:rsidRDefault="00527288" w:rsidP="00330831">
      <w:r>
        <w:separator/>
      </w:r>
    </w:p>
  </w:footnote>
  <w:footnote w:type="continuationSeparator" w:id="0">
    <w:p w:rsidR="00527288" w:rsidRDefault="00527288" w:rsidP="0033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46"/>
    <w:rsid w:val="00314EDD"/>
    <w:rsid w:val="00330831"/>
    <w:rsid w:val="00527288"/>
    <w:rsid w:val="00940546"/>
    <w:rsid w:val="00EE4D44"/>
    <w:rsid w:val="00E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20903"/>
  <w15:chartTrackingRefBased/>
  <w15:docId w15:val="{D5DDD0F0-6190-452D-8B0F-F78D0CFD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D4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30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08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0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0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2716">
          <w:marLeft w:val="0"/>
          <w:marRight w:val="0"/>
          <w:marTop w:val="0"/>
          <w:marBottom w:val="0"/>
          <w:divBdr>
            <w:top w:val="single" w:sz="6" w:space="8" w:color="F5F5F5"/>
            <w:left w:val="single" w:sz="6" w:space="8" w:color="F5F5F5"/>
            <w:bottom w:val="single" w:sz="6" w:space="8" w:color="F5F5F5"/>
            <w:right w:val="single" w:sz="6" w:space="8" w:color="F5F5F5"/>
          </w:divBdr>
          <w:divsChild>
            <w:div w:id="503017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6</cp:revision>
  <dcterms:created xsi:type="dcterms:W3CDTF">2018-05-10T07:01:00Z</dcterms:created>
  <dcterms:modified xsi:type="dcterms:W3CDTF">2018-10-10T05:05:00Z</dcterms:modified>
</cp:coreProperties>
</file>