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20" w:type="dxa"/>
        <w:tblCellSpacing w:w="0" w:type="dxa"/>
        <w:shd w:val="clear" w:color="auto" w:fill="FFFFFF"/>
        <w:tblCellMar>
          <w:left w:w="0" w:type="dxa"/>
          <w:right w:w="0" w:type="dxa"/>
        </w:tblCellMar>
        <w:tblLook w:val="04A0" w:firstRow="1" w:lastRow="0" w:firstColumn="1" w:lastColumn="0" w:noHBand="0" w:noVBand="1"/>
      </w:tblPr>
      <w:tblGrid>
        <w:gridCol w:w="14520"/>
      </w:tblGrid>
      <w:tr w:rsidR="00160D23" w:rsidRPr="00160D23" w14:paraId="0FA20763" w14:textId="77777777" w:rsidTr="00160D23">
        <w:trPr>
          <w:trHeight w:val="540"/>
          <w:tblCellSpacing w:w="0" w:type="dxa"/>
        </w:trPr>
        <w:tc>
          <w:tcPr>
            <w:tcW w:w="14520" w:type="dxa"/>
            <w:shd w:val="clear" w:color="auto" w:fill="FFFFFF"/>
            <w:vAlign w:val="center"/>
            <w:hideMark/>
          </w:tcPr>
          <w:p w14:paraId="4BD6EF2A" w14:textId="77777777" w:rsidR="00160D23" w:rsidRPr="00160D23" w:rsidRDefault="00160D23" w:rsidP="00160D23">
            <w:pPr>
              <w:widowControl/>
              <w:spacing w:line="450" w:lineRule="atLeast"/>
              <w:jc w:val="center"/>
              <w:rPr>
                <w:rFonts w:ascii="Georgia" w:eastAsia="宋体" w:hAnsi="Georgia" w:cs="Arial"/>
                <w:b/>
                <w:bCs/>
                <w:color w:val="000000"/>
                <w:kern w:val="0"/>
                <w:sz w:val="36"/>
                <w:szCs w:val="36"/>
              </w:rPr>
            </w:pPr>
            <w:bookmarkStart w:id="0" w:name="_GoBack"/>
            <w:r w:rsidRPr="00160D23">
              <w:rPr>
                <w:rFonts w:ascii="Georgia" w:eastAsia="宋体" w:hAnsi="Georgia" w:cs="Arial"/>
                <w:b/>
                <w:bCs/>
                <w:color w:val="000000"/>
                <w:kern w:val="0"/>
                <w:sz w:val="36"/>
                <w:szCs w:val="36"/>
              </w:rPr>
              <w:t>甘肃省人民政府办公厅印发《甘肃省支持</w:t>
            </w:r>
            <w:r w:rsidRPr="00160D23">
              <w:rPr>
                <w:rFonts w:ascii="Georgia" w:eastAsia="宋体" w:hAnsi="Georgia" w:cs="Arial"/>
                <w:b/>
                <w:bCs/>
                <w:color w:val="000000"/>
                <w:kern w:val="0"/>
                <w:sz w:val="36"/>
                <w:szCs w:val="36"/>
              </w:rPr>
              <w:br/>
            </w:r>
            <w:r w:rsidRPr="00160D23">
              <w:rPr>
                <w:rFonts w:ascii="Georgia" w:eastAsia="宋体" w:hAnsi="Georgia" w:cs="Arial"/>
                <w:b/>
                <w:bCs/>
                <w:color w:val="000000"/>
                <w:kern w:val="0"/>
                <w:sz w:val="36"/>
                <w:szCs w:val="36"/>
              </w:rPr>
              <w:t>总部企业发展政策措施（试行）》</w:t>
            </w:r>
            <w:bookmarkEnd w:id="0"/>
          </w:p>
        </w:tc>
      </w:tr>
      <w:tr w:rsidR="00160D23" w:rsidRPr="00160D23" w14:paraId="196A4286" w14:textId="77777777" w:rsidTr="00160D23">
        <w:trPr>
          <w:trHeight w:val="6600"/>
          <w:tblCellSpacing w:w="0" w:type="dxa"/>
        </w:trPr>
        <w:tc>
          <w:tcPr>
            <w:tcW w:w="0" w:type="auto"/>
            <w:shd w:val="clear" w:color="auto" w:fill="FFFFFF"/>
            <w:hideMark/>
          </w:tcPr>
          <w:tbl>
            <w:tblPr>
              <w:tblW w:w="5000" w:type="pct"/>
              <w:jc w:val="center"/>
              <w:tblCellSpacing w:w="60" w:type="dxa"/>
              <w:tblCellMar>
                <w:left w:w="0" w:type="dxa"/>
                <w:right w:w="0" w:type="dxa"/>
              </w:tblCellMar>
              <w:tblLook w:val="04A0" w:firstRow="1" w:lastRow="0" w:firstColumn="1" w:lastColumn="0" w:noHBand="0" w:noVBand="1"/>
            </w:tblPr>
            <w:tblGrid>
              <w:gridCol w:w="14520"/>
            </w:tblGrid>
            <w:tr w:rsidR="00160D23" w:rsidRPr="00160D23" w14:paraId="27EE2F33" w14:textId="77777777">
              <w:trPr>
                <w:trHeight w:val="390"/>
                <w:tblCellSpacing w:w="60" w:type="dxa"/>
                <w:jc w:val="center"/>
              </w:trPr>
              <w:tc>
                <w:tcPr>
                  <w:tcW w:w="13140" w:type="dxa"/>
                  <w:shd w:val="clear" w:color="auto" w:fill="EFEFEF"/>
                  <w:vAlign w:val="center"/>
                  <w:hideMark/>
                </w:tcPr>
                <w:p w14:paraId="56020E5F" w14:textId="77777777" w:rsidR="00160D23" w:rsidRPr="00160D23" w:rsidRDefault="00160D23" w:rsidP="00160D23">
                  <w:pPr>
                    <w:widowControl/>
                    <w:jc w:val="center"/>
                    <w:rPr>
                      <w:rFonts w:ascii="宋体" w:eastAsia="宋体" w:hAnsi="宋体" w:cs="宋体"/>
                      <w:kern w:val="0"/>
                      <w:sz w:val="24"/>
                      <w:szCs w:val="24"/>
                    </w:rPr>
                  </w:pPr>
                  <w:r w:rsidRPr="00160D23">
                    <w:rPr>
                      <w:rFonts w:ascii="宋体" w:eastAsia="宋体" w:hAnsi="宋体" w:cs="宋体"/>
                      <w:kern w:val="0"/>
                      <w:sz w:val="24"/>
                      <w:szCs w:val="24"/>
                    </w:rPr>
                    <w:t>时间：2019-01-11 文档来源：</w:t>
                  </w:r>
                </w:p>
              </w:tc>
            </w:tr>
          </w:tbl>
          <w:p w14:paraId="77958573" w14:textId="77777777" w:rsidR="00160D23" w:rsidRPr="00160D23" w:rsidRDefault="00160D23" w:rsidP="00160D23">
            <w:pPr>
              <w:widowControl/>
              <w:jc w:val="left"/>
              <w:rPr>
                <w:rFonts w:ascii="Arial" w:eastAsia="宋体" w:hAnsi="Arial" w:cs="Arial"/>
                <w:vanish/>
                <w:color w:val="000000"/>
                <w:kern w:val="0"/>
                <w:sz w:val="18"/>
                <w:szCs w:val="18"/>
              </w:rPr>
            </w:pPr>
          </w:p>
          <w:tbl>
            <w:tblPr>
              <w:tblW w:w="4800" w:type="pct"/>
              <w:jc w:val="center"/>
              <w:tblCellSpacing w:w="60" w:type="dxa"/>
              <w:tblCellMar>
                <w:left w:w="0" w:type="dxa"/>
                <w:right w:w="0" w:type="dxa"/>
              </w:tblCellMar>
              <w:tblLook w:val="04A0" w:firstRow="1" w:lastRow="0" w:firstColumn="1" w:lastColumn="0" w:noHBand="0" w:noVBand="1"/>
            </w:tblPr>
            <w:tblGrid>
              <w:gridCol w:w="13939"/>
            </w:tblGrid>
            <w:tr w:rsidR="00160D23" w:rsidRPr="00160D23" w14:paraId="73FC5123" w14:textId="77777777">
              <w:trPr>
                <w:tblCellSpacing w:w="60" w:type="dxa"/>
                <w:jc w:val="center"/>
              </w:trPr>
              <w:tc>
                <w:tcPr>
                  <w:tcW w:w="0" w:type="auto"/>
                  <w:shd w:val="clear" w:color="auto" w:fill="CC0000"/>
                  <w:vAlign w:val="center"/>
                  <w:hideMark/>
                </w:tcPr>
                <w:p w14:paraId="3E2D8962" w14:textId="77777777" w:rsidR="00160D23" w:rsidRPr="00160D23" w:rsidRDefault="00160D23" w:rsidP="00160D23">
                  <w:pPr>
                    <w:widowControl/>
                    <w:jc w:val="left"/>
                    <w:rPr>
                      <w:rFonts w:ascii="Arial" w:eastAsia="宋体" w:hAnsi="Arial" w:cs="Arial"/>
                      <w:color w:val="000000"/>
                      <w:kern w:val="0"/>
                      <w:sz w:val="18"/>
                      <w:szCs w:val="18"/>
                    </w:rPr>
                  </w:pPr>
                </w:p>
              </w:tc>
            </w:tr>
            <w:tr w:rsidR="00160D23" w:rsidRPr="00160D23" w14:paraId="28143595" w14:textId="77777777">
              <w:trPr>
                <w:trHeight w:val="1380"/>
                <w:tblCellSpacing w:w="60" w:type="dxa"/>
                <w:jc w:val="center"/>
              </w:trPr>
              <w:tc>
                <w:tcPr>
                  <w:tcW w:w="5000" w:type="pct"/>
                  <w:hideMark/>
                </w:tcPr>
                <w:p w14:paraId="31C19211" w14:textId="77777777" w:rsidR="00160D23" w:rsidRPr="00160D23" w:rsidRDefault="00160D23" w:rsidP="00160D23">
                  <w:pPr>
                    <w:widowControl/>
                    <w:shd w:val="clear" w:color="auto" w:fill="FFFFFF"/>
                    <w:spacing w:line="480" w:lineRule="atLeast"/>
                    <w:jc w:val="left"/>
                    <w:rPr>
                      <w:rFonts w:ascii="宋体" w:eastAsia="宋体" w:hAnsi="宋体" w:cs="宋体"/>
                      <w:color w:val="666666"/>
                      <w:kern w:val="0"/>
                      <w:szCs w:val="21"/>
                    </w:rPr>
                  </w:pPr>
                  <w:r w:rsidRPr="00160D23">
                    <w:rPr>
                      <w:rFonts w:ascii="仿宋_GB2312" w:eastAsia="仿宋_GB2312" w:hAnsi="宋体" w:cs="宋体" w:hint="eastAsia"/>
                      <w:color w:val="000000"/>
                      <w:kern w:val="0"/>
                      <w:sz w:val="36"/>
                      <w:szCs w:val="36"/>
                    </w:rPr>
                    <w:t>   </w:t>
                  </w:r>
                  <w:r w:rsidRPr="00160D23">
                    <w:rPr>
                      <w:rFonts w:ascii="仿宋_GB2312" w:eastAsia="仿宋_GB2312" w:hAnsi="宋体" w:cs="宋体" w:hint="eastAsia"/>
                      <w:color w:val="000000"/>
                      <w:kern w:val="0"/>
                      <w:sz w:val="32"/>
                      <w:szCs w:val="32"/>
                    </w:rPr>
                    <w:t>近日，为吸引总部企业集聚，培育壮大总部企业规模，增强区域辐射带动力和综合竞争力</w:t>
                  </w:r>
                  <w:r w:rsidRPr="00160D23">
                    <w:rPr>
                      <w:rFonts w:ascii="仿宋_GB2312" w:eastAsia="仿宋_GB2312" w:hAnsi="宋体" w:cs="宋体" w:hint="eastAsia"/>
                      <w:color w:val="000000"/>
                      <w:kern w:val="0"/>
                      <w:sz w:val="36"/>
                      <w:szCs w:val="36"/>
                    </w:rPr>
                    <w:t>,</w:t>
                  </w:r>
                  <w:r w:rsidRPr="00160D23">
                    <w:rPr>
                      <w:rFonts w:ascii="仿宋_GB2312" w:eastAsia="仿宋_GB2312" w:hAnsi="宋体" w:cs="宋体" w:hint="eastAsia"/>
                      <w:color w:val="000000"/>
                      <w:kern w:val="0"/>
                      <w:sz w:val="32"/>
                      <w:szCs w:val="32"/>
                    </w:rPr>
                    <w:t>加快经济结构转型升级和构建现代化经济体系，甘肃省人民政府办公厅印发《甘肃省支持总部企业发展政策措施（试行）》（以下简称《措施》）。</w:t>
                  </w:r>
                </w:p>
                <w:p w14:paraId="6A0D74CF" w14:textId="77777777" w:rsidR="00160D23" w:rsidRPr="00160D23" w:rsidRDefault="00160D23" w:rsidP="00160D23">
                  <w:pPr>
                    <w:widowControl/>
                    <w:shd w:val="clear" w:color="auto" w:fill="FFFFFF"/>
                    <w:spacing w:line="480" w:lineRule="atLeast"/>
                    <w:jc w:val="left"/>
                    <w:rPr>
                      <w:rFonts w:ascii="宋体" w:eastAsia="宋体" w:hAnsi="宋体" w:cs="宋体"/>
                      <w:color w:val="666666"/>
                      <w:kern w:val="0"/>
                      <w:szCs w:val="21"/>
                    </w:rPr>
                  </w:pPr>
                  <w:r w:rsidRPr="00160D23">
                    <w:rPr>
                      <w:rFonts w:ascii="仿宋_GB2312" w:eastAsia="仿宋_GB2312" w:hAnsi="宋体" w:cs="宋体" w:hint="eastAsia"/>
                      <w:color w:val="000000"/>
                      <w:kern w:val="0"/>
                      <w:sz w:val="36"/>
                      <w:szCs w:val="36"/>
                    </w:rPr>
                    <w:t>   </w:t>
                  </w:r>
                  <w:r w:rsidRPr="00160D23">
                    <w:rPr>
                      <w:rFonts w:ascii="仿宋_GB2312" w:eastAsia="仿宋_GB2312" w:hAnsi="宋体" w:cs="宋体" w:hint="eastAsia"/>
                      <w:color w:val="000000"/>
                      <w:kern w:val="0"/>
                      <w:sz w:val="32"/>
                      <w:szCs w:val="32"/>
                    </w:rPr>
                    <w:t>《措施》提出，对新引进的在证券交易所主板上市的企业，经权威认定的世界企业</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强、中国企业</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强、中国服务业企业</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强、中国民营企业</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强、国内行业细分排名前</w:t>
                  </w:r>
                  <w:r w:rsidRPr="00160D23">
                    <w:rPr>
                      <w:rFonts w:ascii="仿宋_GB2312" w:eastAsia="仿宋_GB2312" w:hAnsi="宋体" w:cs="宋体" w:hint="eastAsia"/>
                      <w:color w:val="000000"/>
                      <w:kern w:val="0"/>
                      <w:sz w:val="36"/>
                      <w:szCs w:val="36"/>
                    </w:rPr>
                    <w:t>30</w:t>
                  </w:r>
                  <w:r w:rsidRPr="00160D23">
                    <w:rPr>
                      <w:rFonts w:ascii="仿宋_GB2312" w:eastAsia="仿宋_GB2312" w:hAnsi="宋体" w:cs="宋体" w:hint="eastAsia"/>
                      <w:color w:val="000000"/>
                      <w:kern w:val="0"/>
                      <w:sz w:val="32"/>
                      <w:szCs w:val="32"/>
                    </w:rPr>
                    <w:t>位的龙头企业，在我省实缴注册资本不低于</w:t>
                  </w:r>
                  <w:r w:rsidRPr="00160D23">
                    <w:rPr>
                      <w:rFonts w:ascii="仿宋_GB2312" w:eastAsia="仿宋_GB2312" w:hAnsi="宋体" w:cs="宋体" w:hint="eastAsia"/>
                      <w:color w:val="000000"/>
                      <w:kern w:val="0"/>
                      <w:sz w:val="36"/>
                      <w:szCs w:val="36"/>
                    </w:rPr>
                    <w:t>5000</w:t>
                  </w:r>
                  <w:r w:rsidRPr="00160D23">
                    <w:rPr>
                      <w:rFonts w:ascii="仿宋_GB2312" w:eastAsia="仿宋_GB2312" w:hAnsi="宋体" w:cs="宋体" w:hint="eastAsia"/>
                      <w:color w:val="000000"/>
                      <w:kern w:val="0"/>
                      <w:sz w:val="32"/>
                      <w:szCs w:val="32"/>
                    </w:rPr>
                    <w:t>万元，正式运营一年后，在本省形成的省级财力不低于</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万元，省政府给予一次性</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万元奖励；对我省企业首次进入世界企业</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强、中国企业</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强、中国服务业企业</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强、中国民营企业</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强、国内行业细分排名前</w:t>
                  </w:r>
                  <w:r w:rsidRPr="00160D23">
                    <w:rPr>
                      <w:rFonts w:ascii="仿宋_GB2312" w:eastAsia="仿宋_GB2312" w:hAnsi="宋体" w:cs="宋体" w:hint="eastAsia"/>
                      <w:color w:val="000000"/>
                      <w:kern w:val="0"/>
                      <w:sz w:val="36"/>
                      <w:szCs w:val="36"/>
                    </w:rPr>
                    <w:t>30</w:t>
                  </w:r>
                  <w:r w:rsidRPr="00160D23">
                    <w:rPr>
                      <w:rFonts w:ascii="仿宋_GB2312" w:eastAsia="仿宋_GB2312" w:hAnsi="宋体" w:cs="宋体" w:hint="eastAsia"/>
                      <w:color w:val="000000"/>
                      <w:kern w:val="0"/>
                      <w:sz w:val="32"/>
                      <w:szCs w:val="32"/>
                    </w:rPr>
                    <w:t>位，在本省形成的省级财力不低于</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万元，省政府给予一次性</w:t>
                  </w:r>
                  <w:r w:rsidRPr="00160D23">
                    <w:rPr>
                      <w:rFonts w:ascii="仿宋_GB2312" w:eastAsia="仿宋_GB2312" w:hAnsi="宋体" w:cs="宋体" w:hint="eastAsia"/>
                      <w:color w:val="000000"/>
                      <w:kern w:val="0"/>
                      <w:sz w:val="36"/>
                      <w:szCs w:val="36"/>
                    </w:rPr>
                    <w:t>500</w:t>
                  </w:r>
                  <w:r w:rsidRPr="00160D23">
                    <w:rPr>
                      <w:rFonts w:ascii="仿宋_GB2312" w:eastAsia="仿宋_GB2312" w:hAnsi="宋体" w:cs="宋体" w:hint="eastAsia"/>
                      <w:color w:val="000000"/>
                      <w:kern w:val="0"/>
                      <w:sz w:val="32"/>
                      <w:szCs w:val="32"/>
                    </w:rPr>
                    <w:t>万元奖励。</w:t>
                  </w:r>
                </w:p>
                <w:p w14:paraId="214712DA" w14:textId="77777777" w:rsidR="00160D23" w:rsidRPr="00160D23" w:rsidRDefault="00160D23" w:rsidP="00160D23">
                  <w:pPr>
                    <w:widowControl/>
                    <w:shd w:val="clear" w:color="auto" w:fill="FFFFFF"/>
                    <w:spacing w:line="480" w:lineRule="atLeast"/>
                    <w:jc w:val="left"/>
                    <w:rPr>
                      <w:rFonts w:ascii="宋体" w:eastAsia="宋体" w:hAnsi="宋体" w:cs="宋体"/>
                      <w:color w:val="666666"/>
                      <w:kern w:val="0"/>
                      <w:szCs w:val="21"/>
                    </w:rPr>
                  </w:pPr>
                  <w:r w:rsidRPr="00160D23">
                    <w:rPr>
                      <w:rFonts w:ascii="仿宋_GB2312" w:eastAsia="仿宋_GB2312" w:hAnsi="宋体" w:cs="宋体" w:hint="eastAsia"/>
                      <w:color w:val="000000"/>
                      <w:kern w:val="0"/>
                      <w:sz w:val="32"/>
                      <w:szCs w:val="32"/>
                    </w:rPr>
                    <w:t xml:space="preserve">　《措施》明确，设立总部企业绿色通道，对总部企业项目审批和相关诉求，实行专人负责制，为企业提供零距离、零跑路、保姆式、贴心式的优质服务，吸引企业落地。同时，进一步明确了总部企业在项目用地保障、税费优惠、人才引进政策支持、融资服务等方面的措施。</w:t>
                  </w:r>
                </w:p>
                <w:p w14:paraId="3EAAED04" w14:textId="77777777" w:rsidR="00160D23" w:rsidRPr="00160D23" w:rsidRDefault="00160D23" w:rsidP="00160D23">
                  <w:pPr>
                    <w:widowControl/>
                    <w:shd w:val="clear" w:color="auto" w:fill="FFFFFF"/>
                    <w:spacing w:line="480" w:lineRule="atLeast"/>
                    <w:jc w:val="left"/>
                    <w:rPr>
                      <w:rFonts w:ascii="宋体" w:eastAsia="宋体" w:hAnsi="宋体" w:cs="宋体"/>
                      <w:color w:val="666666"/>
                      <w:kern w:val="0"/>
                      <w:szCs w:val="21"/>
                    </w:rPr>
                  </w:pPr>
                  <w:r w:rsidRPr="00160D23">
                    <w:rPr>
                      <w:rFonts w:ascii="仿宋_GB2312" w:eastAsia="仿宋_GB2312" w:hAnsi="宋体" w:cs="宋体" w:hint="eastAsia"/>
                      <w:color w:val="000000"/>
                      <w:kern w:val="0"/>
                      <w:sz w:val="36"/>
                      <w:szCs w:val="36"/>
                    </w:rPr>
                    <w:t>   </w:t>
                  </w:r>
                  <w:r w:rsidRPr="00160D23">
                    <w:rPr>
                      <w:rFonts w:ascii="仿宋_GB2312" w:eastAsia="仿宋_GB2312" w:hAnsi="宋体" w:cs="宋体" w:hint="eastAsia"/>
                      <w:color w:val="000000"/>
                      <w:kern w:val="0"/>
                      <w:sz w:val="32"/>
                      <w:szCs w:val="32"/>
                    </w:rPr>
                    <w:t>《措施》强调，支持建立科技创新平台，</w:t>
                  </w:r>
                  <w:proofErr w:type="gramStart"/>
                  <w:r w:rsidRPr="00160D23">
                    <w:rPr>
                      <w:rFonts w:ascii="仿宋_GB2312" w:eastAsia="仿宋_GB2312" w:hAnsi="宋体" w:cs="宋体" w:hint="eastAsia"/>
                      <w:color w:val="000000"/>
                      <w:kern w:val="0"/>
                      <w:sz w:val="32"/>
                      <w:szCs w:val="32"/>
                    </w:rPr>
                    <w:t>发挥兰白试验区</w:t>
                  </w:r>
                  <w:proofErr w:type="gramEnd"/>
                  <w:r w:rsidRPr="00160D23">
                    <w:rPr>
                      <w:rFonts w:ascii="仿宋_GB2312" w:eastAsia="仿宋_GB2312" w:hAnsi="宋体" w:cs="宋体" w:hint="eastAsia"/>
                      <w:color w:val="000000"/>
                      <w:kern w:val="0"/>
                      <w:sz w:val="32"/>
                      <w:szCs w:val="32"/>
                    </w:rPr>
                    <w:t>技术创新驱动基金作用，支持总部企业入驻兰州白银国家自主创新示范区和国家级、省级开发区。总部企业与省内高校、科研院所、企业等开展产学研合作的，支持创办产业技术研究院、创新工作站和科技成果转移转化平台等新型研发机构。支持依托总部企业建设国家重点实验室等国家级科技创新载体或分支机构，承担国家重点研发计划等国家科技计划项目。鼓励总部企业建立工程研究中心、产业创新中心，打造区域研发中心和公共服务平台，提供科技研发和公共检测服务，提升总部企业功能。</w:t>
                  </w:r>
                </w:p>
                <w:p w14:paraId="3E5398A8" w14:textId="77777777" w:rsidR="00160D23" w:rsidRPr="00160D23" w:rsidRDefault="00160D23" w:rsidP="00160D23">
                  <w:pPr>
                    <w:widowControl/>
                    <w:shd w:val="clear" w:color="auto" w:fill="FFFFFF"/>
                    <w:spacing w:line="480" w:lineRule="atLeast"/>
                    <w:jc w:val="left"/>
                    <w:rPr>
                      <w:rFonts w:ascii="宋体" w:eastAsia="宋体" w:hAnsi="宋体" w:cs="宋体"/>
                      <w:color w:val="666666"/>
                      <w:kern w:val="0"/>
                      <w:szCs w:val="21"/>
                    </w:rPr>
                  </w:pPr>
                  <w:r w:rsidRPr="00160D23">
                    <w:rPr>
                      <w:rFonts w:ascii="仿宋_GB2312" w:eastAsia="仿宋_GB2312" w:hAnsi="宋体" w:cs="宋体" w:hint="eastAsia"/>
                      <w:color w:val="000000"/>
                      <w:kern w:val="0"/>
                      <w:sz w:val="36"/>
                      <w:szCs w:val="36"/>
                    </w:rPr>
                    <w:lastRenderedPageBreak/>
                    <w:t>   </w:t>
                  </w:r>
                  <w:r w:rsidRPr="00160D23">
                    <w:rPr>
                      <w:rFonts w:ascii="仿宋_GB2312" w:eastAsia="仿宋_GB2312" w:hAnsi="宋体" w:cs="宋体" w:hint="eastAsia"/>
                      <w:color w:val="000000"/>
                      <w:kern w:val="0"/>
                      <w:sz w:val="32"/>
                      <w:szCs w:val="32"/>
                    </w:rPr>
                    <w:t>《措施》要求，各市州在落实本政策措施的基础上，可发挥比较优势，勇于创新突破，进一步研究制定支持总部企业发展的具体措施。强化政策协调，提高政策精准度，积极主动提供优质高效服务，营造总部企业发展的良好环境。</w:t>
                  </w:r>
                </w:p>
              </w:tc>
            </w:tr>
          </w:tbl>
          <w:p w14:paraId="2A5852B9" w14:textId="77777777" w:rsidR="00160D23" w:rsidRPr="00160D23" w:rsidRDefault="00160D23" w:rsidP="00160D23">
            <w:pPr>
              <w:widowControl/>
              <w:jc w:val="left"/>
              <w:rPr>
                <w:rFonts w:ascii="Arial" w:eastAsia="宋体" w:hAnsi="Arial" w:cs="Arial"/>
                <w:color w:val="000000"/>
                <w:kern w:val="0"/>
                <w:sz w:val="18"/>
                <w:szCs w:val="18"/>
              </w:rPr>
            </w:pPr>
          </w:p>
        </w:tc>
      </w:tr>
    </w:tbl>
    <w:p w14:paraId="531E5AE4" w14:textId="77777777" w:rsidR="00BF5D9C" w:rsidRPr="00160D23" w:rsidRDefault="00BF5D9C"/>
    <w:sectPr w:rsidR="00BF5D9C" w:rsidRPr="00160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B055D" w14:textId="77777777" w:rsidR="00682DAC" w:rsidRDefault="00682DAC" w:rsidP="00160D23">
      <w:r>
        <w:separator/>
      </w:r>
    </w:p>
  </w:endnote>
  <w:endnote w:type="continuationSeparator" w:id="0">
    <w:p w14:paraId="3A943428" w14:textId="77777777" w:rsidR="00682DAC" w:rsidRDefault="00682DAC" w:rsidP="0016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24C3" w14:textId="77777777" w:rsidR="00682DAC" w:rsidRDefault="00682DAC" w:rsidP="00160D23">
      <w:r>
        <w:separator/>
      </w:r>
    </w:p>
  </w:footnote>
  <w:footnote w:type="continuationSeparator" w:id="0">
    <w:p w14:paraId="2A93CEEF" w14:textId="77777777" w:rsidR="00682DAC" w:rsidRDefault="00682DAC" w:rsidP="0016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12"/>
    <w:rsid w:val="00160D23"/>
    <w:rsid w:val="00682DAC"/>
    <w:rsid w:val="00914912"/>
    <w:rsid w:val="00BF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B0E3AA-F4ED-4BAD-81B5-12F96531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D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0D23"/>
    <w:rPr>
      <w:sz w:val="18"/>
      <w:szCs w:val="18"/>
    </w:rPr>
  </w:style>
  <w:style w:type="paragraph" w:styleId="a5">
    <w:name w:val="footer"/>
    <w:basedOn w:val="a"/>
    <w:link w:val="a6"/>
    <w:uiPriority w:val="99"/>
    <w:unhideWhenUsed/>
    <w:rsid w:val="00160D23"/>
    <w:pPr>
      <w:tabs>
        <w:tab w:val="center" w:pos="4153"/>
        <w:tab w:val="right" w:pos="8306"/>
      </w:tabs>
      <w:snapToGrid w:val="0"/>
      <w:jc w:val="left"/>
    </w:pPr>
    <w:rPr>
      <w:sz w:val="18"/>
      <w:szCs w:val="18"/>
    </w:rPr>
  </w:style>
  <w:style w:type="character" w:customStyle="1" w:styleId="a6">
    <w:name w:val="页脚 字符"/>
    <w:basedOn w:val="a0"/>
    <w:link w:val="a5"/>
    <w:uiPriority w:val="99"/>
    <w:rsid w:val="00160D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642897">
      <w:bodyDiv w:val="1"/>
      <w:marLeft w:val="0"/>
      <w:marRight w:val="0"/>
      <w:marTop w:val="0"/>
      <w:marBottom w:val="0"/>
      <w:divBdr>
        <w:top w:val="none" w:sz="0" w:space="0" w:color="auto"/>
        <w:left w:val="none" w:sz="0" w:space="0" w:color="auto"/>
        <w:bottom w:val="none" w:sz="0" w:space="0" w:color="auto"/>
        <w:right w:val="none" w:sz="0" w:space="0" w:color="auto"/>
      </w:divBdr>
      <w:divsChild>
        <w:div w:id="1755204519">
          <w:marLeft w:val="0"/>
          <w:marRight w:val="0"/>
          <w:marTop w:val="0"/>
          <w:marBottom w:val="0"/>
          <w:divBdr>
            <w:top w:val="none" w:sz="0" w:space="0" w:color="auto"/>
            <w:left w:val="none" w:sz="0" w:space="0" w:color="auto"/>
            <w:bottom w:val="none" w:sz="0" w:space="0" w:color="auto"/>
            <w:right w:val="none" w:sz="0" w:space="0" w:color="auto"/>
          </w:divBdr>
        </w:div>
        <w:div w:id="14305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2019-01-14T05:39:00Z</dcterms:created>
  <dcterms:modified xsi:type="dcterms:W3CDTF">2019-01-14T05:39:00Z</dcterms:modified>
</cp:coreProperties>
</file>