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Mar>
          <w:left w:w="0" w:type="dxa"/>
          <w:right w:w="0" w:type="dxa"/>
        </w:tblCellMar>
        <w:tblLook w:val="04A0" w:firstRow="1" w:lastRow="0" w:firstColumn="1" w:lastColumn="0" w:noHBand="0" w:noVBand="1"/>
      </w:tblPr>
      <w:tblGrid>
        <w:gridCol w:w="7475"/>
      </w:tblGrid>
      <w:tr w:rsidR="00854BDE" w:rsidRPr="00854BDE" w14:paraId="6A5638DE" w14:textId="77777777" w:rsidTr="00854BDE">
        <w:trPr>
          <w:jc w:val="center"/>
        </w:trPr>
        <w:tc>
          <w:tcPr>
            <w:tcW w:w="0" w:type="auto"/>
            <w:vAlign w:val="center"/>
            <w:hideMark/>
          </w:tcPr>
          <w:p w14:paraId="634F0A97" w14:textId="77777777" w:rsidR="00854BDE" w:rsidRPr="00854BDE" w:rsidRDefault="00854BDE" w:rsidP="00854BDE">
            <w:pPr>
              <w:widowControl/>
              <w:spacing w:line="495" w:lineRule="atLeast"/>
              <w:jc w:val="center"/>
              <w:rPr>
                <w:rFonts w:ascii="微软雅黑" w:eastAsia="微软雅黑" w:hAnsi="微软雅黑" w:cs="宋体"/>
                <w:b/>
                <w:bCs/>
                <w:color w:val="3D3D3D"/>
                <w:kern w:val="0"/>
                <w:sz w:val="33"/>
                <w:szCs w:val="33"/>
              </w:rPr>
            </w:pPr>
            <w:r w:rsidRPr="00854BDE">
              <w:rPr>
                <w:rFonts w:ascii="微软雅黑" w:eastAsia="微软雅黑" w:hAnsi="微软雅黑" w:cs="宋体" w:hint="eastAsia"/>
                <w:b/>
                <w:bCs/>
                <w:color w:val="3D3D3D"/>
                <w:kern w:val="0"/>
                <w:sz w:val="33"/>
                <w:szCs w:val="33"/>
              </w:rPr>
              <w:t>淄博市人民政府关于印发淄博市鼓励企业上市和并购重组助推新旧动能转换的若干政策的通知</w:t>
            </w:r>
          </w:p>
        </w:tc>
      </w:tr>
      <w:tr w:rsidR="00854BDE" w:rsidRPr="00854BDE" w14:paraId="444C7DD1" w14:textId="77777777" w:rsidTr="00854BDE">
        <w:trPr>
          <w:trHeight w:val="300"/>
          <w:jc w:val="center"/>
        </w:trPr>
        <w:tc>
          <w:tcPr>
            <w:tcW w:w="0" w:type="auto"/>
            <w:vAlign w:val="center"/>
            <w:hideMark/>
          </w:tcPr>
          <w:p w14:paraId="08D090B7" w14:textId="77777777" w:rsidR="00854BDE" w:rsidRPr="00854BDE" w:rsidRDefault="00854BDE" w:rsidP="00854BDE">
            <w:pPr>
              <w:widowControl/>
              <w:jc w:val="left"/>
              <w:rPr>
                <w:rFonts w:ascii="微软雅黑" w:eastAsia="微软雅黑" w:hAnsi="微软雅黑" w:cs="宋体" w:hint="eastAsia"/>
                <w:color w:val="333333"/>
                <w:kern w:val="0"/>
                <w:sz w:val="23"/>
                <w:szCs w:val="23"/>
              </w:rPr>
            </w:pPr>
            <w:r w:rsidRPr="00854BDE">
              <w:rPr>
                <w:rFonts w:ascii="微软雅黑" w:eastAsia="微软雅黑" w:hAnsi="微软雅黑" w:cs="宋体" w:hint="eastAsia"/>
                <w:color w:val="333333"/>
                <w:kern w:val="0"/>
                <w:sz w:val="23"/>
                <w:szCs w:val="23"/>
              </w:rPr>
              <w:pict w14:anchorId="02A3DC82">
                <v:rect id="_x0000_i1025" style="width:0;height:0" o:hralign="center" o:hrstd="t" o:hr="t" fillcolor="#a0a0a0" stroked="f"/>
              </w:pict>
            </w:r>
          </w:p>
        </w:tc>
      </w:tr>
      <w:tr w:rsidR="00854BDE" w:rsidRPr="00854BDE" w14:paraId="4A88E3BF" w14:textId="77777777" w:rsidTr="00854BDE">
        <w:trPr>
          <w:jc w:val="center"/>
        </w:trPr>
        <w:tc>
          <w:tcPr>
            <w:tcW w:w="0" w:type="auto"/>
            <w:vAlign w:val="center"/>
            <w:hideMark/>
          </w:tcPr>
          <w:tbl>
            <w:tblPr>
              <w:tblW w:w="4500" w:type="pct"/>
              <w:jc w:val="center"/>
              <w:tblCellMar>
                <w:top w:w="15" w:type="dxa"/>
                <w:left w:w="15" w:type="dxa"/>
                <w:bottom w:w="15" w:type="dxa"/>
                <w:right w:w="15" w:type="dxa"/>
              </w:tblCellMar>
              <w:tblLook w:val="04A0" w:firstRow="1" w:lastRow="0" w:firstColumn="1" w:lastColumn="0" w:noHBand="0" w:noVBand="1"/>
            </w:tblPr>
            <w:tblGrid>
              <w:gridCol w:w="2220"/>
              <w:gridCol w:w="2288"/>
              <w:gridCol w:w="2220"/>
            </w:tblGrid>
            <w:tr w:rsidR="00854BDE" w:rsidRPr="00854BDE" w14:paraId="5F22EBFB" w14:textId="77777777" w:rsidTr="002D243E">
              <w:trPr>
                <w:jc w:val="center"/>
              </w:trPr>
              <w:tc>
                <w:tcPr>
                  <w:tcW w:w="1650" w:type="pct"/>
                  <w:tcMar>
                    <w:top w:w="0" w:type="dxa"/>
                    <w:left w:w="0" w:type="dxa"/>
                    <w:bottom w:w="0" w:type="dxa"/>
                    <w:right w:w="0" w:type="dxa"/>
                  </w:tcMar>
                  <w:vAlign w:val="center"/>
                </w:tcPr>
                <w:p w14:paraId="4583A3C0" w14:textId="61591BA7" w:rsidR="00854BDE" w:rsidRPr="00854BDE" w:rsidRDefault="00854BDE" w:rsidP="00854BDE">
                  <w:pPr>
                    <w:widowControl/>
                    <w:jc w:val="right"/>
                    <w:rPr>
                      <w:rFonts w:ascii="宋体" w:eastAsia="宋体" w:hAnsi="宋体" w:cs="宋体" w:hint="eastAsia"/>
                      <w:kern w:val="0"/>
                      <w:sz w:val="24"/>
                      <w:szCs w:val="24"/>
                    </w:rPr>
                  </w:pPr>
                  <w:bookmarkStart w:id="0" w:name="_GoBack"/>
                  <w:bookmarkEnd w:id="0"/>
                </w:p>
              </w:tc>
              <w:tc>
                <w:tcPr>
                  <w:tcW w:w="0" w:type="auto"/>
                  <w:tcMar>
                    <w:top w:w="0" w:type="dxa"/>
                    <w:left w:w="0" w:type="dxa"/>
                    <w:bottom w:w="0" w:type="dxa"/>
                    <w:right w:w="0" w:type="dxa"/>
                  </w:tcMar>
                  <w:vAlign w:val="center"/>
                </w:tcPr>
                <w:p w14:paraId="662DDB02" w14:textId="1A4B99D4" w:rsidR="00854BDE" w:rsidRPr="00854BDE" w:rsidRDefault="00854BDE" w:rsidP="00854BDE">
                  <w:pPr>
                    <w:widowControl/>
                    <w:jc w:val="center"/>
                    <w:rPr>
                      <w:rFonts w:ascii="宋体" w:eastAsia="宋体" w:hAnsi="宋体" w:cs="宋体"/>
                      <w:kern w:val="0"/>
                      <w:sz w:val="24"/>
                      <w:szCs w:val="24"/>
                    </w:rPr>
                  </w:pPr>
                </w:p>
              </w:tc>
              <w:tc>
                <w:tcPr>
                  <w:tcW w:w="1650" w:type="pct"/>
                  <w:tcMar>
                    <w:top w:w="0" w:type="dxa"/>
                    <w:left w:w="0" w:type="dxa"/>
                    <w:bottom w:w="0" w:type="dxa"/>
                    <w:right w:w="0" w:type="dxa"/>
                  </w:tcMar>
                  <w:vAlign w:val="center"/>
                </w:tcPr>
                <w:p w14:paraId="0837C8E7" w14:textId="5218BE5B" w:rsidR="00854BDE" w:rsidRPr="00854BDE" w:rsidRDefault="00854BDE" w:rsidP="00854BDE">
                  <w:pPr>
                    <w:widowControl/>
                    <w:jc w:val="left"/>
                    <w:rPr>
                      <w:rFonts w:ascii="宋体" w:eastAsia="宋体" w:hAnsi="宋体" w:cs="宋体" w:hint="eastAsia"/>
                      <w:kern w:val="0"/>
                      <w:sz w:val="24"/>
                      <w:szCs w:val="24"/>
                    </w:rPr>
                  </w:pPr>
                </w:p>
              </w:tc>
            </w:tr>
          </w:tbl>
          <w:p w14:paraId="59C3E083" w14:textId="77777777" w:rsidR="00854BDE" w:rsidRPr="00854BDE" w:rsidRDefault="00854BDE" w:rsidP="00854BDE">
            <w:pPr>
              <w:widowControl/>
              <w:jc w:val="left"/>
              <w:rPr>
                <w:rFonts w:ascii="微软雅黑" w:eastAsia="微软雅黑" w:hAnsi="微软雅黑" w:cs="宋体"/>
                <w:color w:val="333333"/>
                <w:kern w:val="0"/>
                <w:sz w:val="23"/>
                <w:szCs w:val="23"/>
              </w:rPr>
            </w:pPr>
          </w:p>
        </w:tc>
      </w:tr>
      <w:tr w:rsidR="00854BDE" w:rsidRPr="00854BDE" w14:paraId="12E2F61C" w14:textId="77777777" w:rsidTr="00854BDE">
        <w:trPr>
          <w:jc w:val="center"/>
        </w:trPr>
        <w:tc>
          <w:tcPr>
            <w:tcW w:w="0" w:type="auto"/>
            <w:vAlign w:val="center"/>
            <w:hideMark/>
          </w:tcPr>
          <w:p w14:paraId="0095EE48" w14:textId="77777777" w:rsidR="00854BDE" w:rsidRPr="00854BDE" w:rsidRDefault="00854BDE" w:rsidP="00854BDE">
            <w:pPr>
              <w:widowControl/>
              <w:spacing w:line="480" w:lineRule="atLeast"/>
              <w:ind w:firstLine="480"/>
              <w:jc w:val="center"/>
              <w:rPr>
                <w:rFonts w:ascii="微软雅黑" w:eastAsia="微软雅黑" w:hAnsi="微软雅黑" w:cs="宋体" w:hint="eastAsia"/>
                <w:color w:val="3D3D3D"/>
                <w:kern w:val="0"/>
                <w:sz w:val="23"/>
                <w:szCs w:val="23"/>
              </w:rPr>
            </w:pPr>
            <w:proofErr w:type="gramStart"/>
            <w:r w:rsidRPr="00854BDE">
              <w:rPr>
                <w:rFonts w:ascii="微软雅黑" w:eastAsia="微软雅黑" w:hAnsi="微软雅黑" w:cs="宋体" w:hint="eastAsia"/>
                <w:color w:val="3D3D3D"/>
                <w:kern w:val="0"/>
                <w:sz w:val="23"/>
                <w:szCs w:val="23"/>
              </w:rPr>
              <w:t>淄</w:t>
            </w:r>
            <w:proofErr w:type="gramEnd"/>
            <w:r w:rsidRPr="00854BDE">
              <w:rPr>
                <w:rFonts w:ascii="微软雅黑" w:eastAsia="微软雅黑" w:hAnsi="微软雅黑" w:cs="宋体" w:hint="eastAsia"/>
                <w:color w:val="3D3D3D"/>
                <w:kern w:val="0"/>
                <w:sz w:val="23"/>
                <w:szCs w:val="23"/>
              </w:rPr>
              <w:t>政发〔2018〕10号</w:t>
            </w:r>
          </w:p>
        </w:tc>
      </w:tr>
    </w:tbl>
    <w:p w14:paraId="1276BC35" w14:textId="77777777" w:rsidR="00854BDE" w:rsidRDefault="00854BDE" w:rsidP="00854BDE">
      <w:pPr>
        <w:pStyle w:val="a7"/>
        <w:spacing w:before="0" w:beforeAutospacing="0" w:after="0" w:afterAutospacing="0"/>
        <w:ind w:firstLine="480"/>
        <w:rPr>
          <w:rFonts w:ascii="微软雅黑" w:eastAsia="微软雅黑" w:hAnsi="微软雅黑"/>
          <w:color w:val="3D3D3D"/>
          <w:sz w:val="23"/>
          <w:szCs w:val="23"/>
        </w:rPr>
      </w:pPr>
    </w:p>
    <w:p w14:paraId="6A5D2E1C" w14:textId="24134625" w:rsidR="00854BDE" w:rsidRDefault="00854BDE" w:rsidP="00854BDE">
      <w:pPr>
        <w:pStyle w:val="a7"/>
        <w:spacing w:before="0" w:beforeAutospacing="0" w:after="0" w:afterAutospacing="0"/>
        <w:ind w:firstLine="480"/>
        <w:rPr>
          <w:rFonts w:ascii="微软雅黑" w:eastAsia="微软雅黑" w:hAnsi="微软雅黑"/>
          <w:color w:val="3D3D3D"/>
          <w:sz w:val="23"/>
          <w:szCs w:val="23"/>
        </w:rPr>
      </w:pPr>
      <w:r>
        <w:rPr>
          <w:rFonts w:ascii="微软雅黑" w:eastAsia="微软雅黑" w:hAnsi="微软雅黑" w:hint="eastAsia"/>
          <w:color w:val="3D3D3D"/>
          <w:sz w:val="23"/>
          <w:szCs w:val="23"/>
        </w:rPr>
        <w:t>各区县人民政府，高新区、经济开发区、文昌湖区管委会，市政府各部门，各有关单位，各大企业，各高等院校：</w:t>
      </w:r>
    </w:p>
    <w:p w14:paraId="13BED7F8"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现将《淄博市鼓励企业上市和并购重组助推新旧动能转换的若干政策》印发给你们，并就有关事项通知如下，请一并抓好贯彻落实。</w:t>
      </w:r>
    </w:p>
    <w:p w14:paraId="1B6FF8DF"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一、充分认识推动企业上市和并购重组的重要意义。加快建设多层次资本市场，积极推动企业上市和并购重组，对于促进资源优化配置和经济结构调整、助推新旧动能转换、推动企业改革和技术创新等都具有重要意义。党的十九大报告和全国金融工作会议明确提出，要提高直接融资比重，促进多层次资本市场健康发展。省、市也对做好企业上市和并购重组工作高度重视，制定出台了一系列政策措施。对此，各级各部门要切实提高认识，不断增强工作的主动性和责任感，把推动企业上市和并购重组纳入重要工作日程，进一步细化实</w:t>
      </w:r>
      <w:proofErr w:type="gramStart"/>
      <w:r>
        <w:rPr>
          <w:rFonts w:ascii="微软雅黑" w:eastAsia="微软雅黑" w:hAnsi="微软雅黑" w:hint="eastAsia"/>
          <w:color w:val="3D3D3D"/>
          <w:sz w:val="23"/>
          <w:szCs w:val="23"/>
        </w:rPr>
        <w:t>化各项</w:t>
      </w:r>
      <w:proofErr w:type="gramEnd"/>
      <w:r>
        <w:rPr>
          <w:rFonts w:ascii="微软雅黑" w:eastAsia="微软雅黑" w:hAnsi="微软雅黑" w:hint="eastAsia"/>
          <w:color w:val="3D3D3D"/>
          <w:sz w:val="23"/>
          <w:szCs w:val="23"/>
        </w:rPr>
        <w:t>措施，切实抓紧、抓实、抓出成效，努力为全市新旧动能转换提供更强助力。</w:t>
      </w:r>
    </w:p>
    <w:p w14:paraId="31AB4A32"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二、明确工作目标。围绕选拔培育一批、改制推进一批、辅导申报一批、上市挂牌一批、并购重组一批的工作思路，通过5年（2018-2022年）努力，使我市上市公司数量和质量显著提升，实现上市公司数量在目前基础上的翻番和各区县的全覆盖。市政府将制定推进企业上市工作的指导性计划，各区县也要制定切实可行的工作目标和扎实有力的推动措施，切实将各项工作落到实处。</w:t>
      </w:r>
    </w:p>
    <w:p w14:paraId="134A2913"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lastRenderedPageBreak/>
        <w:t>三、落实工作措施。继续做好规模企业规范化公司制改制，细化改制措施，降低企业改制成本，建立分层次、分梯队的企业上市后备资源库。全力抓好企业上市工作，加强政策激励，强化上市服务，拓宽优质企业上市渠道，坚持境内和境外上市并重、直接上市和间接上市并重、上市和挂牌并重，实现多层次、多渠道上市。积极推动上市公司开展以高端技术、高端人才和高端品牌为重点的并购重组，鼓励引入顶尖技术、管理团队、商业模式、营销渠道等资源，形成一批技术含量高、发展质量好、产业带动强的行业龙头企业。各级各部门要切实提高服务效率，在法律、法规、政策允许的范围内，对上市及拟上市企业在企业改制、变更、登记、项目立项、土地利用、环境评价、政策优惠、人才引进、风险防控等方面予以重点支持。各区县要从有利于工作推进出发，在确保落实市级扶持政策的基础上，加大政策支持，配套出台覆盖企业股改规范、上市挂牌、再融资和并购重组等方面的扶持政策，进一步增强政策的针对性和精准性。</w:t>
      </w:r>
    </w:p>
    <w:p w14:paraId="1F166744"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四、强化组织保障。市里成立推进企业上市和并购重组助推新旧动能转换工作领导小组，下设办公室（</w:t>
      </w:r>
      <w:proofErr w:type="gramStart"/>
      <w:r>
        <w:rPr>
          <w:rFonts w:ascii="微软雅黑" w:eastAsia="微软雅黑" w:hAnsi="微软雅黑" w:hint="eastAsia"/>
          <w:color w:val="3D3D3D"/>
          <w:sz w:val="23"/>
          <w:szCs w:val="23"/>
        </w:rPr>
        <w:t>挂市上市办牌子</w:t>
      </w:r>
      <w:proofErr w:type="gramEnd"/>
      <w:r>
        <w:rPr>
          <w:rFonts w:ascii="微软雅黑" w:eastAsia="微软雅黑" w:hAnsi="微软雅黑" w:hint="eastAsia"/>
          <w:color w:val="3D3D3D"/>
          <w:sz w:val="23"/>
          <w:szCs w:val="23"/>
        </w:rPr>
        <w:t>），具体工作由市金融办负责。对影响企业上市和并购重组的问题事项，由市</w:t>
      </w:r>
      <w:proofErr w:type="gramStart"/>
      <w:r>
        <w:rPr>
          <w:rFonts w:ascii="微软雅黑" w:eastAsia="微软雅黑" w:hAnsi="微软雅黑" w:hint="eastAsia"/>
          <w:color w:val="3D3D3D"/>
          <w:sz w:val="23"/>
          <w:szCs w:val="23"/>
        </w:rPr>
        <w:t>上市办</w:t>
      </w:r>
      <w:proofErr w:type="gramEnd"/>
      <w:r>
        <w:rPr>
          <w:rFonts w:ascii="微软雅黑" w:eastAsia="微软雅黑" w:hAnsi="微软雅黑" w:hint="eastAsia"/>
          <w:color w:val="3D3D3D"/>
          <w:sz w:val="23"/>
          <w:szCs w:val="23"/>
        </w:rPr>
        <w:t>向各级政府及有关部门出具交办单，实行限时办结。对于交办事项不作为或落实不力的相关部门、人员，加强督察问责。对于帮助企业解决上市和并购重组过程中有关问题的具体工作行为，按照市委、市政府《印发〈关于激励干部担当作为干事创业的若干意见（试行）〉的通知》(</w:t>
      </w:r>
      <w:proofErr w:type="gramStart"/>
      <w:r>
        <w:rPr>
          <w:rFonts w:ascii="微软雅黑" w:eastAsia="微软雅黑" w:hAnsi="微软雅黑" w:hint="eastAsia"/>
          <w:color w:val="3D3D3D"/>
          <w:sz w:val="23"/>
          <w:szCs w:val="23"/>
        </w:rPr>
        <w:t>淄</w:t>
      </w:r>
      <w:proofErr w:type="gramEnd"/>
      <w:r>
        <w:rPr>
          <w:rFonts w:ascii="微软雅黑" w:eastAsia="微软雅黑" w:hAnsi="微软雅黑" w:hint="eastAsia"/>
          <w:color w:val="3D3D3D"/>
          <w:sz w:val="23"/>
          <w:szCs w:val="23"/>
        </w:rPr>
        <w:t>发〔2017〕29号)精神，实行容错免责。强化区县主体责任，将企业上市、融资等相关工作完成情况纳入全市经济社会发展综合考核体系，提高考核分值比重，形成正向引导激励机制。加强日常调度督查，市政府每月对区县上市工作进展情况进行</w:t>
      </w:r>
      <w:r>
        <w:rPr>
          <w:rFonts w:ascii="微软雅黑" w:eastAsia="微软雅黑" w:hAnsi="微软雅黑" w:hint="eastAsia"/>
          <w:color w:val="3D3D3D"/>
          <w:sz w:val="23"/>
          <w:szCs w:val="23"/>
        </w:rPr>
        <w:lastRenderedPageBreak/>
        <w:t>督查，形成持续督导机制，切实压紧压实各项工作任务，确保企业上市和并购重组工作扎实推进。</w:t>
      </w:r>
    </w:p>
    <w:p w14:paraId="3984595F" w14:textId="77777777" w:rsidR="00854BDE" w:rsidRDefault="00854BDE" w:rsidP="00854BDE">
      <w:pPr>
        <w:pStyle w:val="a7"/>
        <w:spacing w:before="0" w:beforeAutospacing="0" w:after="0" w:afterAutospacing="0"/>
        <w:rPr>
          <w:rFonts w:ascii="微软雅黑" w:eastAsia="微软雅黑" w:hAnsi="微软雅黑" w:hint="eastAsia"/>
          <w:color w:val="3D3D3D"/>
          <w:sz w:val="23"/>
          <w:szCs w:val="23"/>
        </w:rPr>
      </w:pPr>
    </w:p>
    <w:p w14:paraId="256557CC"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                                                                                                       淄博市人民政府</w:t>
      </w:r>
    </w:p>
    <w:p w14:paraId="3BE5EF1F"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                                                                                                        2018年4月11日</w:t>
      </w:r>
    </w:p>
    <w:p w14:paraId="7F135312"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                                                                                                       （此件公开发布） </w:t>
      </w:r>
    </w:p>
    <w:p w14:paraId="2366DF70" w14:textId="77777777" w:rsidR="00854BDE" w:rsidRDefault="00854BDE" w:rsidP="00854BDE">
      <w:pPr>
        <w:pStyle w:val="a7"/>
        <w:spacing w:before="0" w:beforeAutospacing="0" w:after="0" w:afterAutospacing="0"/>
        <w:rPr>
          <w:rFonts w:ascii="微软雅黑" w:eastAsia="微软雅黑" w:hAnsi="微软雅黑" w:hint="eastAsia"/>
          <w:color w:val="3D3D3D"/>
          <w:sz w:val="23"/>
          <w:szCs w:val="23"/>
        </w:rPr>
      </w:pPr>
    </w:p>
    <w:p w14:paraId="3C9695F1" w14:textId="77777777" w:rsidR="00854BDE" w:rsidRDefault="00854BDE" w:rsidP="00854BDE">
      <w:pPr>
        <w:pStyle w:val="a7"/>
        <w:spacing w:before="0" w:beforeAutospacing="0" w:after="0" w:afterAutospacing="0"/>
        <w:ind w:firstLine="480"/>
        <w:jc w:val="center"/>
        <w:rPr>
          <w:rFonts w:ascii="微软雅黑" w:eastAsia="微软雅黑" w:hAnsi="微软雅黑" w:hint="eastAsia"/>
          <w:color w:val="3D3D3D"/>
          <w:sz w:val="23"/>
          <w:szCs w:val="23"/>
        </w:rPr>
      </w:pPr>
      <w:r>
        <w:rPr>
          <w:rFonts w:ascii="微软雅黑" w:eastAsia="微软雅黑" w:hAnsi="微软雅黑" w:hint="eastAsia"/>
          <w:color w:val="3D3D3D"/>
          <w:sz w:val="23"/>
          <w:szCs w:val="23"/>
        </w:rPr>
        <w:t>淄博市鼓励企业上市和并购重组</w:t>
      </w:r>
    </w:p>
    <w:p w14:paraId="7803189D" w14:textId="77777777" w:rsidR="00854BDE" w:rsidRDefault="00854BDE" w:rsidP="00854BDE">
      <w:pPr>
        <w:pStyle w:val="a7"/>
        <w:spacing w:before="0" w:beforeAutospacing="0" w:after="0" w:afterAutospacing="0"/>
        <w:ind w:firstLine="480"/>
        <w:jc w:val="center"/>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助推新旧动能转换的若干政策</w:t>
      </w:r>
    </w:p>
    <w:p w14:paraId="29D4259D" w14:textId="77777777" w:rsidR="00854BDE" w:rsidRDefault="00854BDE" w:rsidP="00854BDE">
      <w:pPr>
        <w:pStyle w:val="a7"/>
        <w:spacing w:before="0" w:beforeAutospacing="0" w:after="0" w:afterAutospacing="0"/>
        <w:rPr>
          <w:rFonts w:ascii="微软雅黑" w:eastAsia="微软雅黑" w:hAnsi="微软雅黑" w:hint="eastAsia"/>
          <w:color w:val="3D3D3D"/>
          <w:sz w:val="23"/>
          <w:szCs w:val="23"/>
        </w:rPr>
      </w:pPr>
    </w:p>
    <w:p w14:paraId="4AB3C523"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为进一步推进企业上市和并购重组，力争实现5年（2018-2022年）上市公司数量倍增、质量显著提升，有力推动新旧动能转换的工作目标，特制定如下政策：</w:t>
      </w:r>
    </w:p>
    <w:p w14:paraId="6D9EA608"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一、对在沪深交易所上市的企业，市财政分阶段给予每家企业总额500万元补助。拟上市企业在中国证监会山东监管局完成报备并正式进入辅导期，补助80万元；中国证监会受理上市申报材料，补助120万元；企业上市成功，补助300万元。对在港交所上市的企业，市财政一次性补助200万元。</w:t>
      </w:r>
    </w:p>
    <w:p w14:paraId="7A546455"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二、企业通过并购重组形式在沪深交易所实现上市，并将上市公司注册地变更至我市的，市财政给予一次性补助500万元；对于促进我市企业通过并购借</w:t>
      </w:r>
      <w:proofErr w:type="gramStart"/>
      <w:r>
        <w:rPr>
          <w:rFonts w:ascii="微软雅黑" w:eastAsia="微软雅黑" w:hAnsi="微软雅黑" w:hint="eastAsia"/>
          <w:color w:val="3D3D3D"/>
          <w:sz w:val="23"/>
          <w:szCs w:val="23"/>
        </w:rPr>
        <w:t>壳方</w:t>
      </w:r>
      <w:r>
        <w:rPr>
          <w:rFonts w:ascii="微软雅黑" w:eastAsia="微软雅黑" w:hAnsi="微软雅黑" w:hint="eastAsia"/>
          <w:color w:val="3D3D3D"/>
          <w:sz w:val="23"/>
          <w:szCs w:val="23"/>
        </w:rPr>
        <w:lastRenderedPageBreak/>
        <w:t>式</w:t>
      </w:r>
      <w:proofErr w:type="gramEnd"/>
      <w:r>
        <w:rPr>
          <w:rFonts w:ascii="微软雅黑" w:eastAsia="微软雅黑" w:hAnsi="微软雅黑" w:hint="eastAsia"/>
          <w:color w:val="3D3D3D"/>
          <w:sz w:val="23"/>
          <w:szCs w:val="23"/>
        </w:rPr>
        <w:t>上市的第三</w:t>
      </w:r>
      <w:proofErr w:type="gramStart"/>
      <w:r>
        <w:rPr>
          <w:rFonts w:ascii="微软雅黑" w:eastAsia="微软雅黑" w:hAnsi="微软雅黑" w:hint="eastAsia"/>
          <w:color w:val="3D3D3D"/>
          <w:sz w:val="23"/>
          <w:szCs w:val="23"/>
        </w:rPr>
        <w:t>方专业</w:t>
      </w:r>
      <w:proofErr w:type="gramEnd"/>
      <w:r>
        <w:rPr>
          <w:rFonts w:ascii="微软雅黑" w:eastAsia="微软雅黑" w:hAnsi="微软雅黑" w:hint="eastAsia"/>
          <w:color w:val="3D3D3D"/>
          <w:sz w:val="23"/>
          <w:szCs w:val="23"/>
        </w:rPr>
        <w:t>机构，市财政给予一次性总额50万元奖励。上市公司将注册地迁入我市并在5年内</w:t>
      </w:r>
      <w:proofErr w:type="gramStart"/>
      <w:r>
        <w:rPr>
          <w:rFonts w:ascii="微软雅黑" w:eastAsia="微软雅黑" w:hAnsi="微软雅黑" w:hint="eastAsia"/>
          <w:color w:val="3D3D3D"/>
          <w:sz w:val="23"/>
          <w:szCs w:val="23"/>
        </w:rPr>
        <w:t>不</w:t>
      </w:r>
      <w:proofErr w:type="gramEnd"/>
      <w:r>
        <w:rPr>
          <w:rFonts w:ascii="微软雅黑" w:eastAsia="微软雅黑" w:hAnsi="微软雅黑" w:hint="eastAsia"/>
          <w:color w:val="3D3D3D"/>
          <w:sz w:val="23"/>
          <w:szCs w:val="23"/>
        </w:rPr>
        <w:t>外迁的，市财政给予一次性补助100万元，并享受“一事一议”专项政策。</w:t>
      </w:r>
    </w:p>
    <w:p w14:paraId="129A1295"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三、上市公司实现再融资，融资额70%以上投资于我市境内的，按实际融资额的2‰给予补助，每家企业同</w:t>
      </w:r>
      <w:proofErr w:type="gramStart"/>
      <w:r>
        <w:rPr>
          <w:rFonts w:ascii="微软雅黑" w:eastAsia="微软雅黑" w:hAnsi="微软雅黑" w:hint="eastAsia"/>
          <w:color w:val="3D3D3D"/>
          <w:sz w:val="23"/>
          <w:szCs w:val="23"/>
        </w:rPr>
        <w:t>一</w:t>
      </w:r>
      <w:proofErr w:type="gramEnd"/>
      <w:r>
        <w:rPr>
          <w:rFonts w:ascii="微软雅黑" w:eastAsia="微软雅黑" w:hAnsi="微软雅黑" w:hint="eastAsia"/>
          <w:color w:val="3D3D3D"/>
          <w:sz w:val="23"/>
          <w:szCs w:val="23"/>
        </w:rPr>
        <w:t>年度内补助额最高不超过200万元，所需资金由市和区县财政按照现行财政体制分级负担。</w:t>
      </w:r>
    </w:p>
    <w:p w14:paraId="3BC7A1CA"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四、对拟上市公司按照上市要求进行财务调整规范、股权架构规范而形成的地方贡献，在中国证监会受理上市申报材料后，拟上市公司按其贡献的90%给予补助，补助总额不超过500万元；拟上市公司的自然人股东按其贡献的60%给予补助，补助总额不超过200万元；所需资金由市和区县财政按照现行财政体制分级负担。企业上市过程中补缴税款确有困难并符合《中华人民共和国税收征收管理法》相关规定的，由纳税人提出申请并经税务部门同意后，可延期缴纳相关税款。</w:t>
      </w:r>
    </w:p>
    <w:p w14:paraId="74969D0B"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五、企业上市后对地方贡献增长高于全市增长幅度部分,第一年按全额、第二年按50%给予补助。我市企业上市后,限售股份在驻</w:t>
      </w:r>
      <w:proofErr w:type="gramStart"/>
      <w:r>
        <w:rPr>
          <w:rFonts w:ascii="微软雅黑" w:eastAsia="微软雅黑" w:hAnsi="微软雅黑" w:hint="eastAsia"/>
          <w:color w:val="3D3D3D"/>
          <w:sz w:val="23"/>
          <w:szCs w:val="23"/>
        </w:rPr>
        <w:t>淄</w:t>
      </w:r>
      <w:proofErr w:type="gramEnd"/>
      <w:r>
        <w:rPr>
          <w:rFonts w:ascii="微软雅黑" w:eastAsia="微软雅黑" w:hAnsi="微软雅黑" w:hint="eastAsia"/>
          <w:color w:val="3D3D3D"/>
          <w:sz w:val="23"/>
          <w:szCs w:val="23"/>
        </w:rPr>
        <w:t>证券营业部解禁转让的，按其地方贡献的60%给予补助；外地上市公司限售股托管在驻</w:t>
      </w:r>
      <w:proofErr w:type="gramStart"/>
      <w:r>
        <w:rPr>
          <w:rFonts w:ascii="微软雅黑" w:eastAsia="微软雅黑" w:hAnsi="微软雅黑" w:hint="eastAsia"/>
          <w:color w:val="3D3D3D"/>
          <w:sz w:val="23"/>
          <w:szCs w:val="23"/>
        </w:rPr>
        <w:t>淄</w:t>
      </w:r>
      <w:proofErr w:type="gramEnd"/>
      <w:r>
        <w:rPr>
          <w:rFonts w:ascii="微软雅黑" w:eastAsia="微软雅黑" w:hAnsi="微软雅黑" w:hint="eastAsia"/>
          <w:color w:val="3D3D3D"/>
          <w:sz w:val="23"/>
          <w:szCs w:val="23"/>
        </w:rPr>
        <w:t>证券营业部，并在我市解禁转让的，按其地方贡献的80%给予补助。所需资金由市和区县财政按照现行财政体制分级负担。</w:t>
      </w:r>
    </w:p>
    <w:p w14:paraId="5113A6F5"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六、鼓励上市公司并购重组优质企业，因并购重组形成的地方贡献，按100%给予补助；并购重组完成后，企业对地方贡献增长高于全市增长幅度部分，第一年按全额、第二年按50%给予补助；所需资金由市和区县财政按照现行财政体制分级负担。</w:t>
      </w:r>
    </w:p>
    <w:p w14:paraId="79F8D77F"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lastRenderedPageBreak/>
        <w:t>七、上市公司并购重组市内企业或其资产，在完成重组资产产权过户或工商变更登记后，市财政按重组置入资产增值额的2‰给予补助，每家企业同</w:t>
      </w:r>
      <w:proofErr w:type="gramStart"/>
      <w:r>
        <w:rPr>
          <w:rFonts w:ascii="微软雅黑" w:eastAsia="微软雅黑" w:hAnsi="微软雅黑" w:hint="eastAsia"/>
          <w:color w:val="3D3D3D"/>
          <w:sz w:val="23"/>
          <w:szCs w:val="23"/>
        </w:rPr>
        <w:t>一</w:t>
      </w:r>
      <w:proofErr w:type="gramEnd"/>
      <w:r>
        <w:rPr>
          <w:rFonts w:ascii="微软雅黑" w:eastAsia="微软雅黑" w:hAnsi="微软雅黑" w:hint="eastAsia"/>
          <w:color w:val="3D3D3D"/>
          <w:sz w:val="23"/>
          <w:szCs w:val="23"/>
        </w:rPr>
        <w:t>年度内补助额最高不超过200万元；上市公司对列入市政府帮扶名单的企业或其资产实施并购重组的，按上述补助标准上浮50%兑现。并购重组完成后，符合相关条件的，可继续享受被并购企业原有的优惠政策和继承使用被并购企业的用能、排污总量等指标。</w:t>
      </w:r>
    </w:p>
    <w:p w14:paraId="5A7022D0"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八、各区县每年初对本辖区上一年度符合享受上述政策的企业进行初审，通过后将初审意见连同相关证明材料报市</w:t>
      </w:r>
      <w:proofErr w:type="gramStart"/>
      <w:r>
        <w:rPr>
          <w:rFonts w:ascii="微软雅黑" w:eastAsia="微软雅黑" w:hAnsi="微软雅黑" w:hint="eastAsia"/>
          <w:color w:val="3D3D3D"/>
          <w:sz w:val="23"/>
          <w:szCs w:val="23"/>
        </w:rPr>
        <w:t>上市办</w:t>
      </w:r>
      <w:proofErr w:type="gramEnd"/>
      <w:r>
        <w:rPr>
          <w:rFonts w:ascii="微软雅黑" w:eastAsia="微软雅黑" w:hAnsi="微软雅黑" w:hint="eastAsia"/>
          <w:color w:val="3D3D3D"/>
          <w:sz w:val="23"/>
          <w:szCs w:val="23"/>
        </w:rPr>
        <w:t>审核。本政策补助对象如同时享受本市其他同类政策的，按照“就高、不重复享受”原则执行。对同一企业的补助额度不超过当年度企业实际形成的地方贡献总额。补助对象在上市和并购重组过程中存在涉嫌欺诈等情形的，由相关部门依法</w:t>
      </w:r>
      <w:proofErr w:type="gramStart"/>
      <w:r>
        <w:rPr>
          <w:rFonts w:ascii="微软雅黑" w:eastAsia="微软雅黑" w:hAnsi="微软雅黑" w:hint="eastAsia"/>
          <w:color w:val="3D3D3D"/>
          <w:sz w:val="23"/>
          <w:szCs w:val="23"/>
        </w:rPr>
        <w:t>作出</w:t>
      </w:r>
      <w:proofErr w:type="gramEnd"/>
      <w:r>
        <w:rPr>
          <w:rFonts w:ascii="微软雅黑" w:eastAsia="微软雅黑" w:hAnsi="微软雅黑" w:hint="eastAsia"/>
          <w:color w:val="3D3D3D"/>
          <w:sz w:val="23"/>
          <w:szCs w:val="23"/>
        </w:rPr>
        <w:t>处罚决定并追回补助资金，同时将其列为重点监管对象，依法依规采取行政性约束和惩戒措施。补助对象享受扶持资金后2年内将注册地迁出我市的，须退回所享受的补助资金。</w:t>
      </w:r>
    </w:p>
    <w:p w14:paraId="1AF4732F"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九、本政策自印发之日起实施，有效期至2022年12月31日。以前文件关于企业上市和并购重组的规定与本政策不一致的，按本政策执行。国家、</w:t>
      </w:r>
      <w:proofErr w:type="gramStart"/>
      <w:r>
        <w:rPr>
          <w:rFonts w:ascii="微软雅黑" w:eastAsia="微软雅黑" w:hAnsi="微软雅黑" w:hint="eastAsia"/>
          <w:color w:val="3D3D3D"/>
          <w:sz w:val="23"/>
          <w:szCs w:val="23"/>
        </w:rPr>
        <w:t>省政策</w:t>
      </w:r>
      <w:proofErr w:type="gramEnd"/>
      <w:r>
        <w:rPr>
          <w:rFonts w:ascii="微软雅黑" w:eastAsia="微软雅黑" w:hAnsi="微软雅黑" w:hint="eastAsia"/>
          <w:color w:val="3D3D3D"/>
          <w:sz w:val="23"/>
          <w:szCs w:val="23"/>
        </w:rPr>
        <w:t>有调整的，按上级政策执行。</w:t>
      </w:r>
    </w:p>
    <w:p w14:paraId="2EF3A1F3" w14:textId="77777777" w:rsidR="00854BDE" w:rsidRDefault="00854BDE" w:rsidP="00854BDE">
      <w:pPr>
        <w:pStyle w:val="a7"/>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十、本政策由市金融办负责解释。</w:t>
      </w:r>
    </w:p>
    <w:p w14:paraId="4FB1E9E9" w14:textId="77777777" w:rsidR="00A6294D" w:rsidRPr="00854BDE" w:rsidRDefault="00A6294D"/>
    <w:sectPr w:rsidR="00A6294D" w:rsidRPr="00854B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30DD2" w14:textId="77777777" w:rsidR="00DB3F89" w:rsidRDefault="00DB3F89" w:rsidP="00854BDE">
      <w:r>
        <w:separator/>
      </w:r>
    </w:p>
  </w:endnote>
  <w:endnote w:type="continuationSeparator" w:id="0">
    <w:p w14:paraId="167A136B" w14:textId="77777777" w:rsidR="00DB3F89" w:rsidRDefault="00DB3F89" w:rsidP="0085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7257D" w14:textId="77777777" w:rsidR="00DB3F89" w:rsidRDefault="00DB3F89" w:rsidP="00854BDE">
      <w:r>
        <w:separator/>
      </w:r>
    </w:p>
  </w:footnote>
  <w:footnote w:type="continuationSeparator" w:id="0">
    <w:p w14:paraId="07795DDA" w14:textId="77777777" w:rsidR="00DB3F89" w:rsidRDefault="00DB3F89" w:rsidP="00854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37"/>
    <w:rsid w:val="002D243E"/>
    <w:rsid w:val="00665637"/>
    <w:rsid w:val="00854BDE"/>
    <w:rsid w:val="00A6294D"/>
    <w:rsid w:val="00DB3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8B2E1"/>
  <w15:chartTrackingRefBased/>
  <w15:docId w15:val="{4AB68EF9-5ED9-482B-B061-E4EEF4A2E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BD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4BDE"/>
    <w:rPr>
      <w:sz w:val="18"/>
      <w:szCs w:val="18"/>
    </w:rPr>
  </w:style>
  <w:style w:type="paragraph" w:styleId="a5">
    <w:name w:val="footer"/>
    <w:basedOn w:val="a"/>
    <w:link w:val="a6"/>
    <w:uiPriority w:val="99"/>
    <w:unhideWhenUsed/>
    <w:rsid w:val="00854BDE"/>
    <w:pPr>
      <w:tabs>
        <w:tab w:val="center" w:pos="4153"/>
        <w:tab w:val="right" w:pos="8306"/>
      </w:tabs>
      <w:snapToGrid w:val="0"/>
      <w:jc w:val="left"/>
    </w:pPr>
    <w:rPr>
      <w:sz w:val="18"/>
      <w:szCs w:val="18"/>
    </w:rPr>
  </w:style>
  <w:style w:type="character" w:customStyle="1" w:styleId="a6">
    <w:name w:val="页脚 字符"/>
    <w:basedOn w:val="a0"/>
    <w:link w:val="a5"/>
    <w:uiPriority w:val="99"/>
    <w:rsid w:val="00854BDE"/>
    <w:rPr>
      <w:sz w:val="18"/>
      <w:szCs w:val="18"/>
    </w:rPr>
  </w:style>
  <w:style w:type="paragraph" w:styleId="a7">
    <w:name w:val="Normal (Web)"/>
    <w:basedOn w:val="a"/>
    <w:uiPriority w:val="99"/>
    <w:semiHidden/>
    <w:unhideWhenUsed/>
    <w:rsid w:val="00854BDE"/>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854B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795598">
      <w:bodyDiv w:val="1"/>
      <w:marLeft w:val="0"/>
      <w:marRight w:val="0"/>
      <w:marTop w:val="0"/>
      <w:marBottom w:val="0"/>
      <w:divBdr>
        <w:top w:val="none" w:sz="0" w:space="0" w:color="auto"/>
        <w:left w:val="none" w:sz="0" w:space="0" w:color="auto"/>
        <w:bottom w:val="none" w:sz="0" w:space="0" w:color="auto"/>
        <w:right w:val="none" w:sz="0" w:space="0" w:color="auto"/>
      </w:divBdr>
    </w:div>
    <w:div w:id="201892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2019-01-25T05:54:00Z</dcterms:created>
  <dcterms:modified xsi:type="dcterms:W3CDTF">2019-01-25T05:56:00Z</dcterms:modified>
</cp:coreProperties>
</file>