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A6D2B" w:rsidRPr="000A6D2B" w:rsidTr="000A6D2B">
        <w:trPr>
          <w:trHeight w:val="67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6D2B" w:rsidRPr="000A6D2B" w:rsidRDefault="000A6D2B" w:rsidP="000A6D2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bookmarkStart w:id="0" w:name="_GoBack"/>
            <w:r w:rsidRPr="000A6D2B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2"/>
                <w:szCs w:val="42"/>
              </w:rPr>
              <w:t>区政府印发关于加快楼宇经济发展的若干政策的意见的通知</w:t>
            </w:r>
            <w:bookmarkEnd w:id="0"/>
          </w:p>
        </w:tc>
      </w:tr>
      <w:tr w:rsidR="000A6D2B" w:rsidRPr="000A6D2B" w:rsidTr="000A6D2B">
        <w:trPr>
          <w:trHeight w:val="7500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　为加快我区楼宇经济发展，增强服务业经济发展承载力，提高全区经济综合实力，现提出如下政策意见：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一、入驻企业奖励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一）对采取购买方式新落户的新注册企业（工商登记和税务登记地需一致，下同），自企业产生税收(指增值税、营业税、企业所得税，下同)每年不少于50万元起5年内，第1至3年按其实缴税收地方留成部分的50%的标准给予补助，第4和第5年按30%的标准给予补助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（二）对采取租赁方式新落户的新注册企业，自企业产生税收起3年内，按20元/平方米·月的标准给予租金补助；租金标准低于20元/平方米·月的，按实补助。租金补助以该企业实缴税收地方留成部分为上限。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（三）对采取购买或租赁方式新落户的电子商务、工业设计、数据管理、供应链管理、知识流程外包和创业投资、股权投资等私</w:t>
            </w:r>
            <w:proofErr w:type="gramStart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募股权投资</w:t>
            </w:r>
            <w:proofErr w:type="gramEnd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基金等新注册新兴服务业企业，其新兴服务业收入不低于80%，自企业产生税收每年不少于30万元起5年内，按其实缴税收地方留成部分的70%的标准给予补助。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（四）对已入驻专业楼宇（属于同行业或相关行业的入驻企业占入驻企业总数50%以上），年纳税超100万元、</w:t>
            </w:r>
            <w:proofErr w:type="gramStart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增幅超</w:t>
            </w:r>
            <w:proofErr w:type="gramEnd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25%的企业，按当年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纳税增量地方留成部分的20%的标准给予补助；年纳税超200万元、</w:t>
            </w:r>
            <w:proofErr w:type="gramStart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增幅超</w:t>
            </w:r>
            <w:proofErr w:type="gramEnd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20%的企业，按当年纳税增量地方留成部分的30%的标准给予补助；年纳税超500万元、</w:t>
            </w:r>
            <w:proofErr w:type="gramStart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增幅超</w:t>
            </w:r>
            <w:proofErr w:type="gramEnd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15%的企业，按当年纳税增量地方留成部分的40%的标准给予补助；年纳税超 1000 万元、</w:t>
            </w:r>
            <w:proofErr w:type="gramStart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增幅超</w:t>
            </w:r>
            <w:proofErr w:type="gramEnd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10%的企业，按当年纳税增量地方留成部分的50%的标准给予补助。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（五）对新引进并经认定的总部企业，自企业产生税收 500万元起5年内，第1至3年按其实缴税收地方留成部分的100%的标准给予补助，第4和第5年按60%的标准给予补助，用于总部企业自身发展。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二、开发建设补助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六）对出租出售率（租售对象仅限企业）超过60%的商务楼宇，年纳税总额超1000万元，自当年起3年内，给予投资或营运主体每年补助20万元；年纳税总额超3000万元，自当年起3年内，给予投资或营运主体每年补助50万元；年纳税总额超5000万元，自当年起3年内，给予投资或营运主体每年补助100万元；年纳税总额超亿元，自当年起3年内，给予投资或营运主体每年补助200万元。 三、相关配套支持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（七）对入驻商务楼宇且年纳税超300万元企业的中、高管人员（副总经理及以上的高级管理和专业技术人才），第 1 至 3年按其在我区缴纳个人所得税地方留成部分的 100%的标准给予补助，第4和第5年按50%的标准给予补助。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（八）对聘请国家一级、二级物业管理企业进行物业管理达3年以上的商务楼宇管理主体，分别一次性奖励20万元和10万元。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 xml:space="preserve">　　（九）对各镇区园新增的纳税总额超亿元的单个专业楼宇（标准同上），按该楼宇年度新增税收地方留成部分的 10%的标准给予所在地补助；对各镇区园新增的纳税总额超亿元的</w:t>
            </w:r>
            <w:proofErr w:type="gramStart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单个非</w:t>
            </w:r>
            <w:proofErr w:type="gramEnd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专业楼宇，按该楼宇年度新增税收地方留成部分的 5%的标准给予所在地补助。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（十）对楼宇经济项目在项目立项审批、土地、规划等方面提供优先支持。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四、附则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（十一）本政策意见所指楼宇是经区服务业领导小组办公室、区财政局联合认定，并进入区级楼宇经济项目库，且在属地纳税、商务办公面积在5000平方米（含）以上的楼宇。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十二）本政策意见对同一项目的同一内容，按“就高不就低、不重复享受”的原则确定，特殊情况“一事一议”；企业在享受扶持政策期间，连续5年内不得转售、转租或改变楼宇用途，否则，将对已补助资金进行追偿并追究相关责任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（十三）本政策意见兑现3年或5年的，应从申报当年起连续计算，中间不符合要求的，不予兑现；税收增长补助年度间应环比计算，若年度间税收增长达不到规定增长率的，下年度兑现奖励需先弥补缺口。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十四）区服务业领导小组办公室会同区财政局下发楼宇经济申报指南。符合条件的商务楼宇业主单位提出申请，将相关材料报区服务业领导小组办公室。区服务业领导小组办公室会同区财政局对申报单位的资格、材料的真实性和完整性等进行联合审查，形成联合审查意见后报区政府审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定后兑现。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（十五）同一企业同一事项符合享受市级财政支持政策的，不再重复享受区级财政支持政策。上级另有政策规定的，从其规定。</w:t>
            </w: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 xml:space="preserve">　　（十六）</w:t>
            </w:r>
            <w:proofErr w:type="gramStart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本意见自颁发</w:t>
            </w:r>
            <w:proofErr w:type="gramEnd"/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之日起实施，由区服务业领导小组办公室负责解释。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0A6D2B" w:rsidRPr="000A6D2B" w:rsidRDefault="000A6D2B" w:rsidP="000A6D2B">
            <w:pPr>
              <w:widowControl/>
              <w:spacing w:line="432" w:lineRule="atLeast"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t xml:space="preserve">　　南通市通州区人民政府</w:t>
            </w: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t xml:space="preserve">　　</w:t>
            </w: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t xml:space="preserve">2014 </w:t>
            </w: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t xml:space="preserve"> 11 </w:t>
            </w: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t xml:space="preserve"> 18 </w:t>
            </w:r>
            <w:r w:rsidRPr="000A6D2B">
              <w:rPr>
                <w:rFonts w:ascii="Times-Roman" w:eastAsia="微软雅黑" w:hAnsi="Times-Roman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B45038" w:rsidRPr="000A6D2B" w:rsidRDefault="00B45038" w:rsidP="000742BC"/>
    <w:sectPr w:rsidR="00B45038" w:rsidRPr="000A6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8D"/>
    <w:rsid w:val="000742BC"/>
    <w:rsid w:val="000A6D2B"/>
    <w:rsid w:val="0024187A"/>
    <w:rsid w:val="003A248D"/>
    <w:rsid w:val="00B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49EB-3925-415D-9AAC-6232A491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title">
    <w:name w:val="detailtitle"/>
    <w:basedOn w:val="a0"/>
    <w:rsid w:val="003A248D"/>
  </w:style>
  <w:style w:type="paragraph" w:customStyle="1" w:styleId="paragraphindent">
    <w:name w:val="paragraphindent"/>
    <w:basedOn w:val="a"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detail">
    <w:name w:val="infodetail"/>
    <w:basedOn w:val="a0"/>
    <w:rsid w:val="0024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2018-05-18T07:57:00Z</dcterms:created>
  <dcterms:modified xsi:type="dcterms:W3CDTF">2018-05-18T07:57:00Z</dcterms:modified>
</cp:coreProperties>
</file>