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D1F" w:rsidRPr="00881D1F" w:rsidRDefault="00881D1F" w:rsidP="00881D1F">
      <w:pPr>
        <w:widowControl/>
        <w:shd w:val="clear" w:color="auto" w:fill="FFFFFF"/>
        <w:spacing w:before="150" w:line="240" w:lineRule="auto"/>
        <w:jc w:val="center"/>
        <w:outlineLvl w:val="1"/>
        <w:rPr>
          <w:rFonts w:ascii="微软雅黑" w:eastAsia="微软雅黑" w:hAnsi="微软雅黑" w:cs="宋体"/>
          <w:b/>
          <w:bCs/>
          <w:color w:val="0D8AD5"/>
          <w:kern w:val="0"/>
          <w:sz w:val="30"/>
          <w:szCs w:val="30"/>
        </w:rPr>
      </w:pPr>
      <w:r w:rsidRPr="00881D1F">
        <w:rPr>
          <w:rFonts w:ascii="微软雅黑" w:eastAsia="微软雅黑" w:hAnsi="微软雅黑" w:cs="宋体" w:hint="eastAsia"/>
          <w:b/>
          <w:bCs/>
          <w:color w:val="0D8AD5"/>
          <w:kern w:val="0"/>
          <w:sz w:val="30"/>
          <w:szCs w:val="30"/>
        </w:rPr>
        <w:t>内蒙古自治区发明专利费用资助办法</w:t>
      </w:r>
    </w:p>
    <w:p w:rsidR="00881D1F" w:rsidRPr="00881D1F" w:rsidRDefault="00881D1F" w:rsidP="00881D1F">
      <w:pPr>
        <w:widowControl/>
        <w:shd w:val="clear" w:color="auto" w:fill="FFFFFF"/>
        <w:spacing w:line="240" w:lineRule="auto"/>
        <w:jc w:val="center"/>
        <w:rPr>
          <w:rFonts w:ascii="微软雅黑" w:eastAsia="微软雅黑" w:hAnsi="微软雅黑" w:cs="宋体" w:hint="eastAsia"/>
          <w:color w:val="666666"/>
          <w:kern w:val="0"/>
          <w:sz w:val="21"/>
          <w:szCs w:val="21"/>
        </w:rPr>
      </w:pPr>
      <w:r w:rsidRPr="00881D1F">
        <w:rPr>
          <w:rFonts w:ascii="微软雅黑" w:eastAsia="微软雅黑" w:hAnsi="微软雅黑" w:cs="宋体" w:hint="eastAsia"/>
          <w:color w:val="666666"/>
          <w:kern w:val="0"/>
          <w:sz w:val="18"/>
          <w:szCs w:val="18"/>
        </w:rPr>
        <w:t>来源：盟科技局</w:t>
      </w:r>
      <w:r w:rsidRPr="00881D1F">
        <w:rPr>
          <w:rFonts w:ascii="微软雅黑" w:eastAsia="微软雅黑" w:hAnsi="微软雅黑" w:cs="宋体" w:hint="eastAsia"/>
          <w:color w:val="666666"/>
          <w:kern w:val="0"/>
          <w:sz w:val="21"/>
          <w:szCs w:val="21"/>
        </w:rPr>
        <w:t> </w:t>
      </w:r>
      <w:r w:rsidRPr="00881D1F">
        <w:rPr>
          <w:rFonts w:ascii="微软雅黑" w:eastAsia="微软雅黑" w:hAnsi="微软雅黑" w:cs="宋体" w:hint="eastAsia"/>
          <w:color w:val="666666"/>
          <w:kern w:val="0"/>
          <w:sz w:val="18"/>
          <w:szCs w:val="18"/>
        </w:rPr>
        <w:t>作者：盟科技局</w:t>
      </w:r>
      <w:r w:rsidRPr="00881D1F">
        <w:rPr>
          <w:rFonts w:ascii="微软雅黑" w:eastAsia="微软雅黑" w:hAnsi="微软雅黑" w:cs="宋体" w:hint="eastAsia"/>
          <w:color w:val="666666"/>
          <w:kern w:val="0"/>
          <w:sz w:val="21"/>
          <w:szCs w:val="21"/>
        </w:rPr>
        <w:t> </w:t>
      </w:r>
      <w:r w:rsidRPr="00881D1F">
        <w:rPr>
          <w:rFonts w:ascii="微软雅黑" w:eastAsia="微软雅黑" w:hAnsi="微软雅黑" w:cs="宋体" w:hint="eastAsia"/>
          <w:color w:val="666666"/>
          <w:kern w:val="0"/>
          <w:sz w:val="18"/>
          <w:szCs w:val="18"/>
        </w:rPr>
        <w:t>发布时间：2017年11月29日</w:t>
      </w:r>
      <w:r w:rsidRPr="00881D1F">
        <w:rPr>
          <w:rFonts w:ascii="微软雅黑" w:eastAsia="微软雅黑" w:hAnsi="微软雅黑" w:cs="宋体" w:hint="eastAsia"/>
          <w:color w:val="666666"/>
          <w:kern w:val="0"/>
          <w:sz w:val="21"/>
          <w:szCs w:val="21"/>
        </w:rPr>
        <w:t> </w:t>
      </w:r>
      <w:r w:rsidRPr="00881D1F">
        <w:rPr>
          <w:rFonts w:ascii="微软雅黑" w:eastAsia="微软雅黑" w:hAnsi="微软雅黑" w:cs="宋体"/>
          <w:noProof/>
          <w:color w:val="666666"/>
          <w:kern w:val="0"/>
          <w:sz w:val="18"/>
          <w:szCs w:val="18"/>
        </w:rPr>
        <w:drawing>
          <wp:inline distT="0" distB="0" distL="0" distR="0">
            <wp:extent cx="200025" cy="200025"/>
            <wp:effectExtent l="0" t="0" r="9525" b="9525"/>
            <wp:docPr id="3" name="图片 3" descr="http://kjj.xam.gov.cn/ks/uiFramework/commonResource/image/2016072714490397184.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jj.xam.gov.cn/ks/uiFramework/commonResource/image/2016072714490397184.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81D1F">
        <w:rPr>
          <w:rFonts w:ascii="微软雅黑" w:eastAsia="微软雅黑" w:hAnsi="微软雅黑" w:cs="宋体" w:hint="eastAsia"/>
          <w:color w:val="666666"/>
          <w:kern w:val="0"/>
          <w:sz w:val="18"/>
          <w:szCs w:val="18"/>
        </w:rPr>
        <w:t> </w:t>
      </w:r>
      <w:r w:rsidRPr="00881D1F">
        <w:rPr>
          <w:rFonts w:ascii="微软雅黑" w:eastAsia="微软雅黑" w:hAnsi="微软雅黑" w:cs="宋体"/>
          <w:noProof/>
          <w:color w:val="666666"/>
          <w:kern w:val="0"/>
          <w:sz w:val="18"/>
          <w:szCs w:val="18"/>
        </w:rPr>
        <w:drawing>
          <wp:inline distT="0" distB="0" distL="0" distR="0">
            <wp:extent cx="200025" cy="200025"/>
            <wp:effectExtent l="0" t="0" r="9525" b="9525"/>
            <wp:docPr id="2" name="图片 2" descr="http://kjj.xam.gov.cn/ks/uiFramework/commonResource/image/2016072714492483583.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jj.xam.gov.cn/ks/uiFramework/commonResource/image/2016072714492483583.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81D1F">
        <w:rPr>
          <w:rFonts w:ascii="微软雅黑" w:eastAsia="微软雅黑" w:hAnsi="微软雅黑" w:cs="宋体" w:hint="eastAsia"/>
          <w:color w:val="666666"/>
          <w:kern w:val="0"/>
          <w:sz w:val="18"/>
          <w:szCs w:val="18"/>
        </w:rPr>
        <w:t> </w:t>
      </w:r>
      <w:r w:rsidRPr="00881D1F">
        <w:rPr>
          <w:rFonts w:ascii="微软雅黑" w:eastAsia="微软雅黑" w:hAnsi="微软雅黑" w:cs="宋体"/>
          <w:noProof/>
          <w:color w:val="666666"/>
          <w:kern w:val="0"/>
          <w:sz w:val="18"/>
          <w:szCs w:val="18"/>
        </w:rPr>
        <w:drawing>
          <wp:inline distT="0" distB="0" distL="0" distR="0">
            <wp:extent cx="200025" cy="200025"/>
            <wp:effectExtent l="0" t="0" r="9525" b="9525"/>
            <wp:docPr id="1" name="图片 1" descr="http://kjj.xam.gov.cn/ks/uiFramework/commonResource/image/2016072714491460834.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jj.xam.gov.cn/ks/uiFramework/commonResource/image/2016072714491460834.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b/>
          <w:bCs/>
          <w:color w:val="333333"/>
          <w:kern w:val="0"/>
          <w:sz w:val="32"/>
          <w:szCs w:val="32"/>
        </w:rPr>
        <w:t>第一条</w:t>
      </w:r>
      <w:r w:rsidRPr="00881D1F">
        <w:rPr>
          <w:rFonts w:ascii="仿宋" w:eastAsia="仿宋" w:hAnsi="仿宋" w:cs="宋体" w:hint="eastAsia"/>
          <w:color w:val="666666"/>
          <w:kern w:val="0"/>
          <w:sz w:val="32"/>
          <w:szCs w:val="32"/>
        </w:rPr>
        <w:t>为促进自治区科技、经济和社会发展，鼓励大众创造发明专利的积极性，提高发明专利的数量和质量，推进自治区实施国家创新驱动发展战略和知识产权战略，贯彻落实《国务院关于新形势下知识产权强国建设的若干意见》精神，结合我区实际，特制定本办法。</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b/>
          <w:bCs/>
          <w:color w:val="333333"/>
          <w:kern w:val="0"/>
          <w:sz w:val="32"/>
          <w:szCs w:val="32"/>
        </w:rPr>
        <w:t>第二条</w:t>
      </w:r>
      <w:r w:rsidRPr="00881D1F">
        <w:rPr>
          <w:rFonts w:ascii="仿宋" w:eastAsia="仿宋" w:hAnsi="仿宋" w:cs="宋体" w:hint="eastAsia"/>
          <w:color w:val="666666"/>
          <w:kern w:val="0"/>
          <w:sz w:val="32"/>
          <w:szCs w:val="32"/>
        </w:rPr>
        <w:t>凡内蒙古自治区行政管辖区内的企事业单位、社会团体和具有本区户籍的个人均可依据本办法提出发明专利费用资助申请。资助申请涉及的专利具有多个权利人的，应当由第一权利人提出。</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b/>
          <w:bCs/>
          <w:color w:val="333333"/>
          <w:kern w:val="0"/>
          <w:sz w:val="32"/>
          <w:szCs w:val="32"/>
        </w:rPr>
        <w:t>第三条</w:t>
      </w:r>
      <w:r w:rsidRPr="00881D1F">
        <w:rPr>
          <w:rFonts w:ascii="仿宋" w:eastAsia="仿宋" w:hAnsi="仿宋" w:cs="宋体" w:hint="eastAsia"/>
          <w:color w:val="666666"/>
          <w:kern w:val="0"/>
          <w:sz w:val="32"/>
          <w:szCs w:val="32"/>
        </w:rPr>
        <w:t>申请资助的范围：</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color w:val="666666"/>
          <w:kern w:val="0"/>
          <w:sz w:val="32"/>
          <w:szCs w:val="32"/>
        </w:rPr>
        <w:t>国内授权的发明专利；</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color w:val="666666"/>
          <w:kern w:val="0"/>
          <w:sz w:val="32"/>
          <w:szCs w:val="32"/>
        </w:rPr>
        <w:t>向我国香港、澳门和台湾地区提交的发明（标准）专利并获得授权（注册）；</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color w:val="666666"/>
          <w:kern w:val="0"/>
          <w:sz w:val="32"/>
          <w:szCs w:val="32"/>
        </w:rPr>
        <w:t>通过PCT途径或巴黎公约途径向国外申请并获得授权的发明专利。</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b/>
          <w:bCs/>
          <w:color w:val="333333"/>
          <w:kern w:val="0"/>
          <w:sz w:val="32"/>
          <w:szCs w:val="32"/>
        </w:rPr>
        <w:t>第四条</w:t>
      </w:r>
      <w:r w:rsidRPr="00881D1F">
        <w:rPr>
          <w:rFonts w:ascii="仿宋" w:eastAsia="仿宋" w:hAnsi="仿宋" w:cs="宋体" w:hint="eastAsia"/>
          <w:color w:val="666666"/>
          <w:kern w:val="0"/>
          <w:sz w:val="32"/>
          <w:szCs w:val="32"/>
        </w:rPr>
        <w:t>资助额度</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color w:val="666666"/>
          <w:kern w:val="0"/>
          <w:sz w:val="32"/>
          <w:szCs w:val="32"/>
        </w:rPr>
        <w:t>1、获得国内发明专利授权的，每件专利资助5000元；</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color w:val="666666"/>
          <w:kern w:val="0"/>
          <w:sz w:val="32"/>
          <w:szCs w:val="32"/>
        </w:rPr>
        <w:t>2、向我国香港、澳门和台湾地区提交的发明（标准）专利并获得授权（注册）的，每件专利资助5000元；</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color w:val="666666"/>
          <w:kern w:val="0"/>
          <w:sz w:val="32"/>
          <w:szCs w:val="32"/>
        </w:rPr>
        <w:lastRenderedPageBreak/>
        <w:t>3、通过PCT途径或巴黎公约途径向国外申请并获得授权的发明专利，每个国家每件授权专利资助20000元，最多按三个国家授权予以资助。</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b/>
          <w:bCs/>
          <w:color w:val="333333"/>
          <w:kern w:val="0"/>
          <w:sz w:val="32"/>
          <w:szCs w:val="32"/>
        </w:rPr>
        <w:t>第五条</w:t>
      </w:r>
      <w:r w:rsidRPr="00881D1F">
        <w:rPr>
          <w:rFonts w:ascii="仿宋" w:eastAsia="仿宋" w:hAnsi="仿宋" w:cs="宋体" w:hint="eastAsia"/>
          <w:color w:val="666666"/>
          <w:kern w:val="0"/>
          <w:sz w:val="32"/>
          <w:szCs w:val="32"/>
        </w:rPr>
        <w:t>申请材料</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color w:val="666666"/>
          <w:kern w:val="0"/>
          <w:sz w:val="32"/>
          <w:szCs w:val="32"/>
        </w:rPr>
        <w:t>申请资助的单位和个人需要向所在盟市科技局(知识产权局)提交以下材料：</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color w:val="666666"/>
          <w:kern w:val="0"/>
          <w:sz w:val="32"/>
          <w:szCs w:val="32"/>
        </w:rPr>
        <w:t>ｌ、《</w:t>
      </w:r>
      <w:hyperlink r:id="rId10" w:history="1">
        <w:r w:rsidRPr="00881D1F">
          <w:rPr>
            <w:rFonts w:ascii="仿宋" w:eastAsia="仿宋" w:hAnsi="仿宋" w:cs="宋体" w:hint="eastAsia"/>
            <w:color w:val="BB1111"/>
            <w:kern w:val="0"/>
            <w:sz w:val="32"/>
            <w:szCs w:val="32"/>
          </w:rPr>
          <w:t>内蒙古</w:t>
        </w:r>
      </w:hyperlink>
      <w:r w:rsidRPr="00881D1F">
        <w:rPr>
          <w:rFonts w:ascii="仿宋" w:eastAsia="仿宋" w:hAnsi="仿宋" w:cs="宋体" w:hint="eastAsia"/>
          <w:color w:val="666666"/>
          <w:kern w:val="0"/>
          <w:sz w:val="32"/>
          <w:szCs w:val="32"/>
        </w:rPr>
        <w:t>自治区发明专利费用资助项目申请表》；</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color w:val="666666"/>
          <w:kern w:val="0"/>
          <w:sz w:val="32"/>
          <w:szCs w:val="32"/>
        </w:rPr>
        <w:t>２、申请资助的单位提交单位证明，申请资助的个人提交身份证或居住证（复印件）；</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color w:val="666666"/>
          <w:kern w:val="0"/>
          <w:sz w:val="32"/>
          <w:szCs w:val="32"/>
        </w:rPr>
        <w:t>３、中国发明专利证书（复印件）及有关文件材料（复印件）；</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color w:val="666666"/>
          <w:kern w:val="0"/>
          <w:sz w:val="32"/>
          <w:szCs w:val="32"/>
        </w:rPr>
        <w:t>4、向我国香港、澳门和台湾地区提交的发明（标准）专利并获得授权（注册）的须报送专利证书（复印件）；</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color w:val="666666"/>
          <w:kern w:val="0"/>
          <w:sz w:val="32"/>
          <w:szCs w:val="32"/>
        </w:rPr>
        <w:t>5、通过PCT途径或巴黎公约途径向国外申请并获得授权的发明专利须报送国家批准的涉外专利代理机构出具的国外发明专利申请费用结算账单和发票（复印件）；外国专利局授权的专利证书（复印件）。</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b/>
          <w:bCs/>
          <w:color w:val="333333"/>
          <w:kern w:val="0"/>
          <w:sz w:val="32"/>
          <w:szCs w:val="32"/>
        </w:rPr>
        <w:t>第六条</w:t>
      </w:r>
      <w:r w:rsidRPr="00881D1F">
        <w:rPr>
          <w:rFonts w:ascii="仿宋" w:eastAsia="仿宋" w:hAnsi="仿宋" w:cs="宋体" w:hint="eastAsia"/>
          <w:color w:val="666666"/>
          <w:kern w:val="0"/>
          <w:sz w:val="32"/>
          <w:szCs w:val="32"/>
        </w:rPr>
        <w:t>审批流程</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color w:val="666666"/>
          <w:kern w:val="0"/>
          <w:sz w:val="32"/>
          <w:szCs w:val="32"/>
        </w:rPr>
        <w:t>发明专利费用资助申请项目由盟市科技局（知识产权局）组织申报并初步审查，对初审合格的项目通过“内蒙古发明专利费用资助管理系统”网上申报，同时填写《发明专利费用资助项目汇总表》，加盖公章后与相关纸质申报材</w:t>
      </w:r>
      <w:r w:rsidRPr="00881D1F">
        <w:rPr>
          <w:rFonts w:ascii="仿宋" w:eastAsia="仿宋" w:hAnsi="仿宋" w:cs="宋体" w:hint="eastAsia"/>
          <w:color w:val="666666"/>
          <w:kern w:val="0"/>
          <w:sz w:val="32"/>
          <w:szCs w:val="32"/>
        </w:rPr>
        <w:lastRenderedPageBreak/>
        <w:t>料一同上报自治区科技厅（知识产权局），自治区科技厅（知识产权局）组织专家评审确定资助项目。</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color w:val="666666"/>
          <w:kern w:val="0"/>
          <w:sz w:val="32"/>
          <w:szCs w:val="32"/>
        </w:rPr>
        <w:t>初步审查：</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color w:val="666666"/>
          <w:kern w:val="0"/>
          <w:sz w:val="32"/>
          <w:szCs w:val="32"/>
        </w:rPr>
        <w:t>1、资格审查：申请资助的单位和个人是否符合本办法第二条的规定；资助范围是否符合本办法第三条的规定。</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color w:val="666666"/>
          <w:kern w:val="0"/>
          <w:sz w:val="32"/>
          <w:szCs w:val="32"/>
        </w:rPr>
        <w:t>2、形式审查：申请表的填写要求非职务发明要有申请人本人签字，职务发明应有单位签章；申报材料中复印件必须清晰、真实、可靠；申报材料是否清晰完整。</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color w:val="666666"/>
          <w:kern w:val="0"/>
          <w:sz w:val="32"/>
          <w:szCs w:val="32"/>
        </w:rPr>
        <w:t>专家评审：</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color w:val="666666"/>
          <w:kern w:val="0"/>
          <w:sz w:val="32"/>
          <w:szCs w:val="32"/>
        </w:rPr>
        <w:t>3、对初步审查合格的资助申请，自治区科技厅（知识产权局）组织专家评审决定是否予以资助。</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b/>
          <w:bCs/>
          <w:color w:val="333333"/>
          <w:kern w:val="0"/>
          <w:sz w:val="32"/>
          <w:szCs w:val="32"/>
        </w:rPr>
        <w:t>第七条</w:t>
      </w:r>
      <w:r w:rsidRPr="00881D1F">
        <w:rPr>
          <w:rFonts w:ascii="微软雅黑" w:eastAsia="微软雅黑" w:hAnsi="微软雅黑" w:cs="宋体" w:hint="eastAsia"/>
          <w:color w:val="666666"/>
          <w:kern w:val="0"/>
          <w:sz w:val="21"/>
          <w:szCs w:val="21"/>
        </w:rPr>
        <w:t> </w:t>
      </w:r>
      <w:r w:rsidRPr="00881D1F">
        <w:rPr>
          <w:rFonts w:ascii="仿宋" w:eastAsia="仿宋" w:hAnsi="仿宋" w:cs="宋体" w:hint="eastAsia"/>
          <w:color w:val="666666"/>
          <w:kern w:val="0"/>
          <w:sz w:val="32"/>
          <w:szCs w:val="32"/>
        </w:rPr>
        <w:t>资助方式</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color w:val="666666"/>
          <w:kern w:val="0"/>
          <w:sz w:val="32"/>
          <w:szCs w:val="32"/>
        </w:rPr>
        <w:t>经评审批准予以资助的申请，自治区科技厅（知识产权局）依照程序通知盟市科技局（知识产权局）并拨付资助资金，资助资金以转帐的方式划转盟市科技局（知识产权局）分别发放，申请资助的单位和个人应在接到通知三个月内办理相关手续。</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b/>
          <w:bCs/>
          <w:color w:val="333333"/>
          <w:kern w:val="0"/>
          <w:sz w:val="32"/>
          <w:szCs w:val="32"/>
        </w:rPr>
        <w:t>第八条</w:t>
      </w:r>
      <w:r w:rsidRPr="00881D1F">
        <w:rPr>
          <w:rFonts w:ascii="仿宋" w:eastAsia="仿宋" w:hAnsi="仿宋" w:cs="宋体" w:hint="eastAsia"/>
          <w:color w:val="666666"/>
          <w:kern w:val="0"/>
          <w:sz w:val="32"/>
          <w:szCs w:val="32"/>
        </w:rPr>
        <w:t>自治区科技厅（知识产权局）是内蒙古自治区发明专利费用资助资金的管理部门，负责对发明专利费用资助资金的管理和使用情况进行监督和检查。</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b/>
          <w:bCs/>
          <w:color w:val="333333"/>
          <w:kern w:val="0"/>
          <w:sz w:val="32"/>
          <w:szCs w:val="32"/>
        </w:rPr>
        <w:t>第九条</w:t>
      </w:r>
      <w:r w:rsidRPr="00881D1F">
        <w:rPr>
          <w:rFonts w:ascii="仿宋" w:eastAsia="仿宋" w:hAnsi="仿宋" w:cs="宋体" w:hint="eastAsia"/>
          <w:color w:val="666666"/>
          <w:kern w:val="0"/>
          <w:sz w:val="32"/>
          <w:szCs w:val="32"/>
        </w:rPr>
        <w:t>内蒙古自治区发明专利费用资助资金实行专项管理，对于虚报、冒领、截留、挪用和挤占专项资金等违反</w:t>
      </w:r>
      <w:r w:rsidRPr="00881D1F">
        <w:rPr>
          <w:rFonts w:ascii="仿宋" w:eastAsia="仿宋" w:hAnsi="仿宋" w:cs="宋体" w:hint="eastAsia"/>
          <w:color w:val="666666"/>
          <w:kern w:val="0"/>
          <w:sz w:val="32"/>
          <w:szCs w:val="32"/>
        </w:rPr>
        <w:lastRenderedPageBreak/>
        <w:t>财经法规的行为，责令限期整改，构成犯罪的，依法移交司法机关追究其刑事责任。</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b/>
          <w:bCs/>
          <w:color w:val="333333"/>
          <w:kern w:val="0"/>
          <w:sz w:val="32"/>
          <w:szCs w:val="32"/>
        </w:rPr>
        <w:t>第十条</w:t>
      </w:r>
      <w:r w:rsidRPr="00881D1F">
        <w:rPr>
          <w:rFonts w:ascii="仿宋" w:eastAsia="仿宋" w:hAnsi="仿宋" w:cs="宋体" w:hint="eastAsia"/>
          <w:color w:val="666666"/>
          <w:kern w:val="0"/>
          <w:sz w:val="32"/>
          <w:szCs w:val="32"/>
        </w:rPr>
        <w:t>自治区科技厅（知识产权局）工作人员在资助工作中滥用职权、玩忽职守、徇私舞弊的，依法追究相关人员的法律责任。</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b/>
          <w:bCs/>
          <w:color w:val="333333"/>
          <w:kern w:val="0"/>
          <w:sz w:val="32"/>
          <w:szCs w:val="32"/>
        </w:rPr>
        <w:t>第十一条</w:t>
      </w:r>
      <w:r w:rsidRPr="00881D1F">
        <w:rPr>
          <w:rFonts w:ascii="仿宋" w:eastAsia="仿宋" w:hAnsi="仿宋" w:cs="宋体" w:hint="eastAsia"/>
          <w:color w:val="666666"/>
          <w:kern w:val="0"/>
          <w:sz w:val="32"/>
          <w:szCs w:val="32"/>
        </w:rPr>
        <w:t>本办法自发布之日起30日后施行，原《内蒙古自治区发明专利费用资助办法》同时废止。</w:t>
      </w:r>
    </w:p>
    <w:p w:rsidR="00881D1F" w:rsidRPr="00881D1F" w:rsidRDefault="00881D1F" w:rsidP="00881D1F">
      <w:pPr>
        <w:widowControl/>
        <w:shd w:val="clear" w:color="auto" w:fill="FFFFFF"/>
        <w:spacing w:line="450" w:lineRule="atLeast"/>
        <w:jc w:val="left"/>
        <w:rPr>
          <w:rFonts w:ascii="微软雅黑" w:eastAsia="微软雅黑" w:hAnsi="微软雅黑" w:cs="宋体" w:hint="eastAsia"/>
          <w:color w:val="666666"/>
          <w:kern w:val="0"/>
          <w:sz w:val="21"/>
          <w:szCs w:val="21"/>
        </w:rPr>
      </w:pPr>
      <w:r w:rsidRPr="00881D1F">
        <w:rPr>
          <w:rFonts w:ascii="仿宋" w:eastAsia="仿宋" w:hAnsi="仿宋" w:cs="宋体" w:hint="eastAsia"/>
          <w:b/>
          <w:bCs/>
          <w:color w:val="333333"/>
          <w:kern w:val="0"/>
          <w:sz w:val="32"/>
          <w:szCs w:val="32"/>
        </w:rPr>
        <w:t>第十二条</w:t>
      </w:r>
      <w:r w:rsidRPr="00881D1F">
        <w:rPr>
          <w:rFonts w:ascii="仿宋" w:eastAsia="仿宋" w:hAnsi="仿宋" w:cs="宋体" w:hint="eastAsia"/>
          <w:color w:val="666666"/>
          <w:kern w:val="0"/>
          <w:sz w:val="32"/>
          <w:szCs w:val="32"/>
        </w:rPr>
        <w:t>本办法由内蒙古自治区科学技术厅（知识产权局）负责解释。</w:t>
      </w:r>
    </w:p>
    <w:p w:rsidR="00650BB8" w:rsidRDefault="00881D1F">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6C"/>
    <w:rsid w:val="001F7137"/>
    <w:rsid w:val="00392DEA"/>
    <w:rsid w:val="00551BE2"/>
    <w:rsid w:val="00672B93"/>
    <w:rsid w:val="007A356C"/>
    <w:rsid w:val="00881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6FB02-2E37-4C03-A08A-617C9B14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2">
    <w:name w:val="heading 2"/>
    <w:basedOn w:val="a"/>
    <w:link w:val="2Char"/>
    <w:uiPriority w:val="9"/>
    <w:qFormat/>
    <w:rsid w:val="00881D1F"/>
    <w:pPr>
      <w:widowControl/>
      <w:spacing w:before="100" w:beforeAutospacing="1" w:after="100" w:afterAutospacing="1" w:line="240" w:lineRule="auto"/>
      <w:jc w:val="left"/>
      <w:outlineLvl w:val="1"/>
    </w:pPr>
    <w:rPr>
      <w:rFonts w:ascii="宋体" w:eastAsia="宋体" w:hAnsi="宋体" w:cs="宋体"/>
      <w:b/>
      <w:bCs/>
      <w:kern w:val="0"/>
      <w:sz w:val="36"/>
      <w:szCs w:val="36"/>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customStyle="1" w:styleId="2Char">
    <w:name w:val="标题 2 Char"/>
    <w:basedOn w:val="a0"/>
    <w:link w:val="2"/>
    <w:uiPriority w:val="9"/>
    <w:rsid w:val="00881D1F"/>
    <w:rPr>
      <w:rFonts w:ascii="宋体" w:eastAsia="宋体" w:hAnsi="宋体" w:cs="宋体"/>
      <w:b/>
      <w:bCs/>
      <w:kern w:val="0"/>
      <w:sz w:val="36"/>
      <w:szCs w:val="36"/>
    </w:rPr>
  </w:style>
  <w:style w:type="character" w:customStyle="1" w:styleId="apple-converted-space">
    <w:name w:val="apple-converted-space"/>
    <w:basedOn w:val="a0"/>
    <w:rsid w:val="00881D1F"/>
  </w:style>
  <w:style w:type="character" w:styleId="a3">
    <w:name w:val="Hyperlink"/>
    <w:basedOn w:val="a0"/>
    <w:uiPriority w:val="99"/>
    <w:semiHidden/>
    <w:unhideWhenUsed/>
    <w:rsid w:val="00881D1F"/>
    <w:rPr>
      <w:color w:val="0000FF"/>
      <w:u w:val="single"/>
    </w:rPr>
  </w:style>
  <w:style w:type="paragraph" w:styleId="a4">
    <w:name w:val="Normal (Web)"/>
    <w:basedOn w:val="a"/>
    <w:uiPriority w:val="99"/>
    <w:semiHidden/>
    <w:unhideWhenUsed/>
    <w:rsid w:val="00881D1F"/>
    <w:pPr>
      <w:widowControl/>
      <w:spacing w:before="100" w:beforeAutospacing="1" w:after="100" w:afterAutospacing="1" w:line="240" w:lineRule="auto"/>
      <w:jc w:val="left"/>
    </w:pPr>
    <w:rPr>
      <w:rFonts w:ascii="宋体" w:eastAsia="宋体" w:hAnsi="宋体" w:cs="宋体"/>
      <w:kern w:val="0"/>
      <w:szCs w:val="24"/>
    </w:rPr>
  </w:style>
  <w:style w:type="character" w:styleId="a5">
    <w:name w:val="Strong"/>
    <w:basedOn w:val="a0"/>
    <w:uiPriority w:val="22"/>
    <w:qFormat/>
    <w:rsid w:val="00881D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09436">
      <w:bodyDiv w:val="1"/>
      <w:marLeft w:val="0"/>
      <w:marRight w:val="0"/>
      <w:marTop w:val="0"/>
      <w:marBottom w:val="0"/>
      <w:divBdr>
        <w:top w:val="none" w:sz="0" w:space="0" w:color="auto"/>
        <w:left w:val="none" w:sz="0" w:space="0" w:color="auto"/>
        <w:bottom w:val="none" w:sz="0" w:space="0" w:color="auto"/>
        <w:right w:val="none" w:sz="0" w:space="0" w:color="auto"/>
      </w:divBdr>
      <w:divsChild>
        <w:div w:id="1278680602">
          <w:marLeft w:val="0"/>
          <w:marRight w:val="0"/>
          <w:marTop w:val="300"/>
          <w:marBottom w:val="300"/>
          <w:divBdr>
            <w:top w:val="none" w:sz="0" w:space="0" w:color="auto"/>
            <w:left w:val="none" w:sz="0" w:space="0" w:color="auto"/>
            <w:bottom w:val="none" w:sz="0" w:space="0" w:color="auto"/>
            <w:right w:val="none" w:sz="0" w:space="0" w:color="auto"/>
          </w:divBdr>
        </w:div>
        <w:div w:id="1545212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nmg.110.com/" TargetMode="External"/><Relationship Id="rId4" Type="http://schemas.openxmlformats.org/officeDocument/2006/relationships/hyperlink" Target="javascript:doZoom(16)" TargetMode="Externa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2018-06-08T06:36:00Z</dcterms:created>
  <dcterms:modified xsi:type="dcterms:W3CDTF">2018-06-08T06:36:00Z</dcterms:modified>
</cp:coreProperties>
</file>