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6F2FF"/>
  <w:body>
    <w:p w:rsidR="00000000" w:rsidRDefault="00B01CD2">
      <w:pPr>
        <w:spacing w:line="480" w:lineRule="auto"/>
        <w:jc w:val="center"/>
        <w:divId w:val="574903801"/>
        <w:rPr>
          <w:rFonts w:ascii="ˎ̥" w:hAnsi="ˎ̥" w:cs="Helvetica"/>
          <w:color w:val="333333"/>
          <w:sz w:val="19"/>
          <w:szCs w:val="19"/>
          <w:lang/>
        </w:rPr>
      </w:pPr>
      <w:r>
        <w:rPr>
          <w:rFonts w:ascii="ˎ̥" w:hAnsi="ˎ̥" w:cs="Helvetica"/>
          <w:color w:val="333333"/>
          <w:sz w:val="27"/>
          <w:szCs w:val="27"/>
          <w:lang/>
        </w:rPr>
        <w:t>惠州市人民政府关于加快发展</w:t>
      </w:r>
      <w:r>
        <w:rPr>
          <w:rFonts w:ascii="ˎ̥" w:hAnsi="ˎ̥" w:cs="Helvetica"/>
          <w:color w:val="333333"/>
          <w:sz w:val="27"/>
          <w:szCs w:val="27"/>
          <w:lang/>
        </w:rPr>
        <w:br/>
      </w:r>
      <w:r>
        <w:rPr>
          <w:rFonts w:ascii="ˎ̥" w:hAnsi="ˎ̥" w:cs="Helvetica"/>
          <w:color w:val="333333"/>
          <w:sz w:val="27"/>
          <w:szCs w:val="27"/>
          <w:lang/>
        </w:rPr>
        <w:t>现代服务业的实施意见</w:t>
      </w:r>
    </w:p>
    <w:p w:rsidR="00000000" w:rsidRDefault="00B01CD2">
      <w:pPr>
        <w:spacing w:line="480" w:lineRule="auto"/>
        <w:jc w:val="center"/>
        <w:divId w:val="574903801"/>
        <w:rPr>
          <w:rFonts w:ascii="ˎ̥" w:hAnsi="ˎ̥" w:cs="Helvetica"/>
          <w:color w:val="333333"/>
          <w:sz w:val="19"/>
          <w:szCs w:val="19"/>
          <w:lang/>
        </w:rPr>
      </w:pPr>
      <w:r>
        <w:rPr>
          <w:rFonts w:ascii="ˎ̥" w:hAnsi="ˎ̥" w:cs="Helvetica"/>
          <w:color w:val="333333"/>
          <w:sz w:val="19"/>
          <w:szCs w:val="19"/>
          <w:lang/>
        </w:rPr>
        <w:t> </w:t>
      </w:r>
    </w:p>
    <w:p w:rsidR="00000000" w:rsidRDefault="00B01CD2">
      <w:pPr>
        <w:spacing w:line="480" w:lineRule="auto"/>
        <w:jc w:val="center"/>
        <w:divId w:val="574903801"/>
        <w:rPr>
          <w:rFonts w:ascii="ˎ̥" w:hAnsi="ˎ̥" w:cs="Helvetica"/>
          <w:color w:val="333333"/>
          <w:sz w:val="19"/>
          <w:szCs w:val="19"/>
          <w:lang/>
        </w:rPr>
      </w:pPr>
      <w:r>
        <w:rPr>
          <w:rFonts w:ascii="ˎ̥" w:hAnsi="ˎ̥" w:cs="Helvetica"/>
          <w:color w:val="333333"/>
          <w:lang/>
        </w:rPr>
        <w:t>惠府〔</w:t>
      </w:r>
      <w:r>
        <w:rPr>
          <w:rFonts w:ascii="ˎ̥" w:hAnsi="ˎ̥" w:cs="Helvetica"/>
          <w:color w:val="333333"/>
          <w:lang/>
        </w:rPr>
        <w:t>2016</w:t>
      </w:r>
      <w:r>
        <w:rPr>
          <w:rFonts w:ascii="ˎ̥" w:hAnsi="ˎ̥" w:cs="Helvetica"/>
          <w:color w:val="333333"/>
          <w:lang/>
        </w:rPr>
        <w:t>〕</w:t>
      </w:r>
      <w:r>
        <w:rPr>
          <w:rFonts w:ascii="ˎ̥" w:hAnsi="ˎ̥" w:cs="Helvetica"/>
          <w:color w:val="333333"/>
          <w:lang/>
        </w:rPr>
        <w:t>138</w:t>
      </w:r>
      <w:r>
        <w:rPr>
          <w:rFonts w:ascii="ˎ̥" w:hAnsi="ˎ̥" w:cs="Helvetica"/>
          <w:color w:val="333333"/>
          <w:lang/>
        </w:rPr>
        <w:t>号</w:t>
      </w:r>
    </w:p>
    <w:p w:rsidR="00000000" w:rsidRDefault="00B01CD2">
      <w:pPr>
        <w:spacing w:line="480" w:lineRule="auto"/>
        <w:divId w:val="2037466541"/>
        <w:rPr>
          <w:rFonts w:ascii="ˎ̥" w:hAnsi="ˎ̥" w:cs="Helvetica"/>
          <w:color w:val="333333"/>
          <w:sz w:val="19"/>
          <w:szCs w:val="19"/>
          <w:lang/>
        </w:rPr>
      </w:pPr>
      <w:r>
        <w:rPr>
          <w:rFonts w:ascii="ˎ̥" w:hAnsi="ˎ̥" w:cs="Helvetica"/>
          <w:color w:val="333333"/>
          <w:sz w:val="19"/>
          <w:szCs w:val="19"/>
          <w:lang/>
        </w:rPr>
        <w:t> </w:t>
      </w:r>
    </w:p>
    <w:p w:rsidR="00000000" w:rsidRDefault="00B01CD2">
      <w:pPr>
        <w:spacing w:line="480" w:lineRule="auto"/>
        <w:divId w:val="566570296"/>
        <w:rPr>
          <w:rFonts w:ascii="ˎ̥" w:hAnsi="ˎ̥" w:cs="Helvetica"/>
          <w:color w:val="333333"/>
          <w:sz w:val="19"/>
          <w:szCs w:val="19"/>
          <w:lang/>
        </w:rPr>
      </w:pPr>
      <w:r>
        <w:rPr>
          <w:rFonts w:ascii="ˎ̥" w:hAnsi="ˎ̥" w:cs="Helvetica"/>
          <w:color w:val="333333"/>
          <w:lang/>
        </w:rPr>
        <w:t>各县、区人民政府，市政府各部门、各直属机构：</w:t>
      </w:r>
      <w:r>
        <w:rPr>
          <w:rFonts w:ascii="ˎ̥" w:hAnsi="ˎ̥" w:cs="Helvetica"/>
          <w:color w:val="333333"/>
          <w:lang/>
        </w:rPr>
        <w:br/>
        <w:t xml:space="preserve">       </w:t>
      </w:r>
      <w:r>
        <w:rPr>
          <w:rFonts w:ascii="ˎ̥" w:hAnsi="ˎ̥" w:cs="Helvetica"/>
          <w:color w:val="333333"/>
          <w:lang/>
        </w:rPr>
        <w:t>为贯彻落实国务院《关于加快发展生产性服务业促进产业结构调整升级的指导意见》（国发﹝</w:t>
      </w:r>
      <w:r>
        <w:rPr>
          <w:rFonts w:ascii="ˎ̥" w:hAnsi="ˎ̥" w:cs="Helvetica"/>
          <w:color w:val="333333"/>
          <w:lang/>
        </w:rPr>
        <w:t>2014</w:t>
      </w:r>
      <w:r>
        <w:rPr>
          <w:rFonts w:ascii="ˎ̥" w:hAnsi="ˎ̥" w:cs="Helvetica"/>
          <w:color w:val="333333"/>
          <w:lang/>
        </w:rPr>
        <w:t>﹞</w:t>
      </w:r>
      <w:r>
        <w:rPr>
          <w:rFonts w:ascii="ˎ̥" w:hAnsi="ˎ̥" w:cs="Helvetica"/>
          <w:color w:val="333333"/>
          <w:lang/>
        </w:rPr>
        <w:t>26</w:t>
      </w:r>
      <w:r>
        <w:rPr>
          <w:rFonts w:ascii="ˎ̥" w:hAnsi="ˎ̥" w:cs="Helvetica"/>
          <w:color w:val="333333"/>
          <w:lang/>
        </w:rPr>
        <w:t>号）、国务院办公厅《关于加快发展生活性服务业促进消费结构升级的指导意见》（国办发〔</w:t>
      </w:r>
      <w:r>
        <w:rPr>
          <w:rFonts w:ascii="ˎ̥" w:hAnsi="ˎ̥" w:cs="Helvetica"/>
          <w:color w:val="333333"/>
          <w:lang/>
        </w:rPr>
        <w:t>2015</w:t>
      </w:r>
      <w:r>
        <w:rPr>
          <w:rFonts w:ascii="ˎ̥" w:hAnsi="ˎ̥" w:cs="Helvetica"/>
          <w:color w:val="333333"/>
          <w:lang/>
        </w:rPr>
        <w:t>〕</w:t>
      </w:r>
      <w:r>
        <w:rPr>
          <w:rFonts w:ascii="ˎ̥" w:hAnsi="ˎ̥" w:cs="Helvetica"/>
          <w:color w:val="333333"/>
          <w:lang/>
        </w:rPr>
        <w:t>85</w:t>
      </w:r>
      <w:r>
        <w:rPr>
          <w:rFonts w:ascii="ˎ̥" w:hAnsi="ˎ̥" w:cs="Helvetica"/>
          <w:color w:val="333333"/>
          <w:lang/>
        </w:rPr>
        <w:t>号）和《广东省人民政府办公厅关于加快发展生产性服务业的若干意见》（粤府办〔</w:t>
      </w:r>
      <w:r>
        <w:rPr>
          <w:rFonts w:ascii="ˎ̥" w:hAnsi="ˎ̥" w:cs="Helvetica"/>
          <w:color w:val="333333"/>
          <w:lang/>
        </w:rPr>
        <w:t>2015</w:t>
      </w:r>
      <w:r>
        <w:rPr>
          <w:rFonts w:ascii="ˎ̥" w:hAnsi="ˎ̥" w:cs="Helvetica"/>
          <w:color w:val="333333"/>
          <w:lang/>
        </w:rPr>
        <w:t>〕</w:t>
      </w:r>
      <w:r>
        <w:rPr>
          <w:rFonts w:ascii="ˎ̥" w:hAnsi="ˎ̥" w:cs="Helvetica"/>
          <w:color w:val="333333"/>
          <w:lang/>
        </w:rPr>
        <w:t>54</w:t>
      </w:r>
      <w:r>
        <w:rPr>
          <w:rFonts w:ascii="ˎ̥" w:hAnsi="ˎ̥" w:cs="Helvetica"/>
          <w:color w:val="333333"/>
          <w:lang/>
        </w:rPr>
        <w:t>号）精神，促进我市现代服务业规模扩大、结构优化、效能提升，实现率先全面建成小康社会、以更好质量更高水平进入珠三角第二梯队的目标，结合我市实际，制定本实施意见。</w:t>
      </w:r>
      <w:r>
        <w:rPr>
          <w:rFonts w:ascii="ˎ̥" w:hAnsi="ˎ̥" w:cs="Helvetica"/>
          <w:color w:val="333333"/>
          <w:lang/>
        </w:rPr>
        <w:br/>
        <w:t xml:space="preserve">        </w:t>
      </w:r>
      <w:r>
        <w:rPr>
          <w:rFonts w:ascii="ˎ̥" w:hAnsi="ˎ̥" w:cs="Helvetica"/>
          <w:color w:val="333333"/>
          <w:lang/>
        </w:rPr>
        <w:t>一、明确总体思路和发展目标</w:t>
      </w:r>
      <w:r>
        <w:rPr>
          <w:rFonts w:ascii="ˎ̥" w:hAnsi="ˎ̥" w:cs="Helvetica"/>
          <w:color w:val="333333"/>
          <w:lang/>
        </w:rPr>
        <w:br/>
        <w:t>        </w:t>
      </w:r>
      <w:r>
        <w:rPr>
          <w:rFonts w:ascii="ˎ̥" w:hAnsi="ˎ̥" w:cs="Helvetica"/>
          <w:color w:val="333333"/>
          <w:lang/>
        </w:rPr>
        <w:t>（一）总体思路。全面贯彻落实党的十八大和十八届三中、四中、五中全会精神，深入学习贯彻习近平总书记系列重要讲话精神，围绕我市构建</w:t>
      </w:r>
      <w:r>
        <w:rPr>
          <w:rFonts w:ascii="ˎ̥" w:hAnsi="ˎ̥" w:cs="Helvetica"/>
          <w:color w:val="333333"/>
          <w:lang/>
        </w:rPr>
        <w:t>“2</w:t>
      </w:r>
      <w:r>
        <w:rPr>
          <w:rFonts w:ascii="ˎ̥" w:hAnsi="ˎ̥" w:cs="Helvetica"/>
          <w:color w:val="333333"/>
          <w:lang/>
        </w:rPr>
        <w:t>＋</w:t>
      </w:r>
      <w:r>
        <w:rPr>
          <w:rFonts w:ascii="ˎ̥" w:hAnsi="ˎ̥" w:cs="Helvetica"/>
          <w:color w:val="333333"/>
          <w:lang/>
        </w:rPr>
        <w:t>2</w:t>
      </w:r>
      <w:r>
        <w:rPr>
          <w:rFonts w:ascii="ˎ̥" w:hAnsi="ˎ̥" w:cs="Helvetica"/>
          <w:color w:val="333333"/>
          <w:lang/>
        </w:rPr>
        <w:t>＋</w:t>
      </w:r>
      <w:r>
        <w:rPr>
          <w:rFonts w:ascii="ˎ̥" w:hAnsi="ˎ̥" w:cs="Helvetica"/>
          <w:color w:val="333333"/>
          <w:lang/>
        </w:rPr>
        <w:t>N”</w:t>
      </w:r>
      <w:r>
        <w:rPr>
          <w:rFonts w:ascii="ˎ̥" w:hAnsi="ˎ̥" w:cs="Helvetica"/>
          <w:color w:val="333333"/>
          <w:lang/>
        </w:rPr>
        <w:t>的现代产业新体系，以市场化、产业化、信息化和国际化为导向，以集聚区、重大项目、龙头企业为抓手，深度推进现代服务业领域的供给侧结构性改革，推</w:t>
      </w:r>
      <w:r>
        <w:rPr>
          <w:rFonts w:ascii="ˎ̥" w:hAnsi="ˎ̥" w:cs="Helvetica"/>
          <w:color w:val="333333"/>
          <w:lang/>
        </w:rPr>
        <w:t>动生产性服务业向专业化和价值链高端延伸，加快生活性服务业向便利化、精细化、品质化发展，培育发展服务业新业态，促进产业转型升级和经济提质增效。</w:t>
      </w:r>
      <w:r>
        <w:rPr>
          <w:rFonts w:ascii="ˎ̥" w:hAnsi="ˎ̥" w:cs="Helvetica"/>
          <w:color w:val="333333"/>
          <w:lang/>
        </w:rPr>
        <w:br/>
        <w:t>        </w:t>
      </w:r>
      <w:r>
        <w:rPr>
          <w:rFonts w:ascii="ˎ̥" w:hAnsi="ˎ̥" w:cs="Helvetica"/>
          <w:color w:val="333333"/>
          <w:lang/>
        </w:rPr>
        <w:t>（二）发展目标。力争到</w:t>
      </w:r>
      <w:r>
        <w:rPr>
          <w:rFonts w:ascii="ˎ̥" w:hAnsi="ˎ̥" w:cs="Helvetica"/>
          <w:color w:val="333333"/>
          <w:lang/>
        </w:rPr>
        <w:t>2020</w:t>
      </w:r>
      <w:r>
        <w:rPr>
          <w:rFonts w:ascii="ˎ̥" w:hAnsi="ˎ̥" w:cs="Helvetica"/>
          <w:color w:val="333333"/>
          <w:lang/>
        </w:rPr>
        <w:t>年，现代服务业实现产业规模、结构水平、创新能力和集群辐射功能</w:t>
      </w:r>
      <w:r>
        <w:rPr>
          <w:rFonts w:ascii="ˎ̥" w:hAnsi="ˎ̥" w:cs="Helvetica"/>
          <w:color w:val="333333"/>
          <w:lang/>
        </w:rPr>
        <w:t>“</w:t>
      </w:r>
      <w:r>
        <w:rPr>
          <w:rFonts w:ascii="ˎ̥" w:hAnsi="ˎ̥" w:cs="Helvetica"/>
          <w:color w:val="333333"/>
          <w:lang/>
        </w:rPr>
        <w:t>四个明显提升</w:t>
      </w:r>
      <w:r>
        <w:rPr>
          <w:rFonts w:ascii="ˎ̥" w:hAnsi="ˎ̥" w:cs="Helvetica"/>
          <w:color w:val="333333"/>
          <w:lang/>
        </w:rPr>
        <w:t>”</w:t>
      </w:r>
      <w:r>
        <w:rPr>
          <w:rFonts w:ascii="ˎ̥" w:hAnsi="ˎ̥" w:cs="Helvetica"/>
          <w:color w:val="333333"/>
          <w:lang/>
        </w:rPr>
        <w:t>，努力建设成为华南地区生产性服务业重要节点、全国知名生活性服务消费基地。到</w:t>
      </w:r>
      <w:r>
        <w:rPr>
          <w:rFonts w:ascii="ˎ̥" w:hAnsi="ˎ̥" w:cs="Helvetica"/>
          <w:color w:val="333333"/>
          <w:lang/>
        </w:rPr>
        <w:t>2020</w:t>
      </w:r>
      <w:r>
        <w:rPr>
          <w:rFonts w:ascii="ˎ̥" w:hAnsi="ˎ̥" w:cs="Helvetica"/>
          <w:color w:val="333333"/>
          <w:lang/>
        </w:rPr>
        <w:t>年，服务业增加值占全市</w:t>
      </w:r>
      <w:r>
        <w:rPr>
          <w:rFonts w:ascii="ˎ̥" w:hAnsi="ˎ̥" w:cs="Helvetica"/>
          <w:color w:val="333333"/>
          <w:lang/>
        </w:rPr>
        <w:t>GDP</w:t>
      </w:r>
      <w:r>
        <w:rPr>
          <w:rFonts w:ascii="ˎ̥" w:hAnsi="ˎ̥" w:cs="Helvetica"/>
          <w:color w:val="333333"/>
          <w:lang/>
        </w:rPr>
        <w:t>比重达</w:t>
      </w:r>
      <w:r>
        <w:rPr>
          <w:rFonts w:ascii="ˎ̥" w:hAnsi="ˎ̥" w:cs="Helvetica"/>
          <w:color w:val="333333"/>
          <w:lang/>
        </w:rPr>
        <w:t>40</w:t>
      </w:r>
      <w:r>
        <w:rPr>
          <w:rFonts w:ascii="ˎ̥" w:hAnsi="ˎ̥" w:cs="Helvetica"/>
          <w:color w:val="333333"/>
          <w:lang/>
        </w:rPr>
        <w:t>％以上；现代服务业占服务业增加值比重达</w:t>
      </w:r>
      <w:r>
        <w:rPr>
          <w:rFonts w:ascii="ˎ̥" w:hAnsi="ˎ̥" w:cs="Helvetica"/>
          <w:color w:val="333333"/>
          <w:lang/>
        </w:rPr>
        <w:t>55</w:t>
      </w:r>
      <w:r>
        <w:rPr>
          <w:rFonts w:ascii="ˎ̥" w:hAnsi="ˎ̥" w:cs="Helvetica"/>
          <w:color w:val="333333"/>
          <w:lang/>
        </w:rPr>
        <w:t>％以上；生产性服务业增加值占服务业增加值比重达</w:t>
      </w:r>
      <w:r>
        <w:rPr>
          <w:rFonts w:ascii="ˎ̥" w:hAnsi="ˎ̥" w:cs="Helvetica"/>
          <w:color w:val="333333"/>
          <w:lang/>
        </w:rPr>
        <w:t>48</w:t>
      </w:r>
      <w:r>
        <w:rPr>
          <w:rFonts w:ascii="ˎ̥" w:hAnsi="ˎ̥" w:cs="Helvetica"/>
          <w:color w:val="333333"/>
          <w:lang/>
        </w:rPr>
        <w:t>％以上；完善优化</w:t>
      </w:r>
      <w:r>
        <w:rPr>
          <w:rFonts w:ascii="ˎ̥" w:hAnsi="ˎ̥" w:cs="Helvetica"/>
          <w:color w:val="333333"/>
          <w:lang/>
        </w:rPr>
        <w:t>50</w:t>
      </w:r>
      <w:r>
        <w:rPr>
          <w:rFonts w:ascii="ˎ̥" w:hAnsi="ˎ̥" w:cs="Helvetica"/>
          <w:color w:val="333333"/>
          <w:lang/>
        </w:rPr>
        <w:t>个主导产业突出、</w:t>
      </w:r>
      <w:r>
        <w:rPr>
          <w:rFonts w:ascii="ˎ̥" w:hAnsi="ˎ̥" w:cs="Helvetica"/>
          <w:color w:val="333333"/>
          <w:lang/>
        </w:rPr>
        <w:t>特色鲜明、层次较高的现代服务业集聚区，其中，产值超</w:t>
      </w:r>
      <w:r>
        <w:rPr>
          <w:rFonts w:ascii="ˎ̥" w:hAnsi="ˎ̥" w:cs="Helvetica"/>
          <w:color w:val="333333"/>
          <w:lang/>
        </w:rPr>
        <w:t>100</w:t>
      </w:r>
      <w:r>
        <w:rPr>
          <w:rFonts w:ascii="ˎ̥" w:hAnsi="ˎ̥" w:cs="Helvetica"/>
          <w:color w:val="333333"/>
          <w:lang/>
        </w:rPr>
        <w:t>亿元具有全国乃至国际影响力的现代服务业集聚区</w:t>
      </w:r>
      <w:r>
        <w:rPr>
          <w:rFonts w:ascii="ˎ̥" w:hAnsi="ˎ̥" w:cs="Helvetica"/>
          <w:color w:val="333333"/>
          <w:lang/>
        </w:rPr>
        <w:t>5</w:t>
      </w:r>
      <w:r>
        <w:rPr>
          <w:rFonts w:ascii="ˎ̥" w:hAnsi="ˎ̥" w:cs="Helvetica"/>
          <w:color w:val="333333"/>
          <w:lang/>
        </w:rPr>
        <w:t>个以上。</w:t>
      </w:r>
      <w:r>
        <w:rPr>
          <w:rFonts w:ascii="ˎ̥" w:hAnsi="ˎ̥" w:cs="Helvetica"/>
          <w:color w:val="333333"/>
          <w:lang/>
        </w:rPr>
        <w:br/>
        <w:t>        </w:t>
      </w:r>
      <w:r>
        <w:rPr>
          <w:rFonts w:ascii="ˎ̥" w:hAnsi="ˎ̥" w:cs="Helvetica"/>
          <w:color w:val="333333"/>
          <w:lang/>
        </w:rPr>
        <w:t>二、突出重点行业和领域</w:t>
      </w:r>
      <w:r>
        <w:rPr>
          <w:rFonts w:ascii="ˎ̥" w:hAnsi="ˎ̥" w:cs="Helvetica"/>
          <w:color w:val="333333"/>
          <w:lang/>
        </w:rPr>
        <w:br/>
        <w:t>        </w:t>
      </w:r>
      <w:r>
        <w:rPr>
          <w:rFonts w:ascii="ˎ̥" w:hAnsi="ˎ̥" w:cs="Helvetica"/>
          <w:color w:val="333333"/>
          <w:lang/>
        </w:rPr>
        <w:t>（三）壮大提升两大支柱行业。依托惠州区位优势、交通优势和产业优势，发展壮大两大服务业支柱行业。</w:t>
      </w:r>
      <w:r>
        <w:rPr>
          <w:rFonts w:ascii="ˎ̥" w:hAnsi="ˎ̥" w:cs="Helvetica"/>
          <w:color w:val="333333"/>
          <w:lang/>
        </w:rPr>
        <w:br/>
        <w:t>        1.</w:t>
      </w:r>
      <w:r>
        <w:rPr>
          <w:rFonts w:ascii="ˎ̥" w:hAnsi="ˎ̥" w:cs="Helvetica"/>
          <w:color w:val="333333"/>
          <w:lang/>
        </w:rPr>
        <w:t xml:space="preserve">　现代物流业。加快推进现代物流业向信息化、标准化、智慧化发展，提高物流效率，补齐物流短板，降低物流成本。建立和完善现代物流服务体系，初步形成以</w:t>
      </w:r>
      <w:r>
        <w:rPr>
          <w:rFonts w:ascii="ˎ̥" w:hAnsi="ˎ̥" w:cs="Helvetica"/>
          <w:color w:val="333333"/>
          <w:lang/>
        </w:rPr>
        <w:t>“</w:t>
      </w:r>
      <w:r>
        <w:rPr>
          <w:rFonts w:ascii="ˎ̥" w:hAnsi="ˎ̥" w:cs="Helvetica"/>
          <w:color w:val="333333"/>
          <w:lang/>
        </w:rPr>
        <w:t>两港</w:t>
      </w:r>
      <w:r>
        <w:rPr>
          <w:rFonts w:ascii="ˎ̥" w:hAnsi="ˎ̥" w:cs="Helvetica"/>
          <w:color w:val="333333"/>
          <w:lang/>
        </w:rPr>
        <w:t>”</w:t>
      </w:r>
      <w:r>
        <w:rPr>
          <w:rFonts w:ascii="ˎ̥" w:hAnsi="ˎ̥" w:cs="Helvetica"/>
          <w:color w:val="333333"/>
          <w:lang/>
        </w:rPr>
        <w:t>物流为重点，以物流园区为载体，以公共物流信息平台为支撑的现代物流体系。加快现代</w:t>
      </w:r>
      <w:r>
        <w:rPr>
          <w:rFonts w:ascii="ˎ̥" w:hAnsi="ˎ̥" w:cs="Helvetica"/>
          <w:color w:val="333333"/>
          <w:lang/>
        </w:rPr>
        <w:t>综合物流网络建设，培育现代物流业的品牌优势和核心竞争力，形成一批规模化、网络化、专业化、信息化的现代物流企业集群，提升惠州的区域辐射带动力，打造成为华南地区重要的物流节点城市以及珠三角向粤东及赣南、闽西地区辐射的物流中心。（牵头单位：市发展改革局，责任单位：市商务局、交通运输局）</w:t>
      </w:r>
      <w:r>
        <w:rPr>
          <w:rFonts w:ascii="ˎ̥" w:hAnsi="ˎ̥" w:cs="Helvetica"/>
          <w:color w:val="333333"/>
          <w:lang/>
        </w:rPr>
        <w:br/>
        <w:t>        2.</w:t>
      </w:r>
      <w:r>
        <w:rPr>
          <w:rFonts w:ascii="ˎ̥" w:hAnsi="ˎ̥" w:cs="Helvetica"/>
          <w:color w:val="333333"/>
          <w:lang/>
        </w:rPr>
        <w:t xml:space="preserve">　休闲旅游业。满足人们的个性化、多元化观光、休闲、度假、娱乐、养生等需求，发挥生态、滨水等资源优势，充分发掘历史文化资源和人文价值，运用新理念、新形态、新技术开拓旅游新领域。加强全域旅游规划，建设国家全域旅游示</w:t>
      </w:r>
      <w:r>
        <w:rPr>
          <w:rFonts w:ascii="ˎ̥" w:hAnsi="ˎ̥" w:cs="Helvetica"/>
          <w:color w:val="333333"/>
          <w:lang/>
        </w:rPr>
        <w:t>范市，重点推进罗浮山－南昆山旅游一体化开发建设，提升宗教文化、森林度假、温泉养生、生态休闲、民宿经济等特色和内涵，打造北部生态旅游区，构建百里生态旅游长廊；大力推进西湖创</w:t>
      </w:r>
      <w:r>
        <w:rPr>
          <w:rFonts w:ascii="ˎ̥" w:hAnsi="ˎ̥" w:cs="Helvetica"/>
          <w:color w:val="333333"/>
          <w:lang/>
        </w:rPr>
        <w:t>5A</w:t>
      </w:r>
      <w:r>
        <w:rPr>
          <w:rFonts w:ascii="ˎ̥" w:hAnsi="ˎ̥" w:cs="Helvetica"/>
          <w:color w:val="333333"/>
          <w:lang/>
        </w:rPr>
        <w:t>工作，提升高榜山、红花湖、东江和西枝江两岸、水东街、西湖文化风情街等大西湖景区建设水平，打造城市中央休闲旅游区；推动稔平半岛旅游开发，整合提升双月湾、海龟湾、平海古城、海滨温泉、霞涌黄金海岸等旅游资源，打造南部滨海旅游区，构建百里滨海旅游休闲长廊，有效对接深圳东进战略，积极参与东部黄金海岸旅游带建设；深度挖掘</w:t>
      </w:r>
      <w:r>
        <w:rPr>
          <w:rFonts w:ascii="ˎ̥" w:hAnsi="ˎ̥" w:cs="Helvetica"/>
          <w:color w:val="333333"/>
          <w:lang/>
        </w:rPr>
        <w:t>“</w:t>
      </w:r>
      <w:r>
        <w:rPr>
          <w:rFonts w:ascii="ˎ̥" w:hAnsi="ˎ̥" w:cs="Helvetica"/>
          <w:color w:val="333333"/>
          <w:lang/>
        </w:rPr>
        <w:t>四东</w:t>
      </w:r>
      <w:r>
        <w:rPr>
          <w:rFonts w:ascii="ˎ̥" w:hAnsi="ˎ̥" w:cs="Helvetica"/>
          <w:color w:val="333333"/>
          <w:lang/>
        </w:rPr>
        <w:t>”</w:t>
      </w:r>
      <w:r>
        <w:rPr>
          <w:rFonts w:ascii="ˎ̥" w:hAnsi="ˎ̥" w:cs="Helvetica"/>
          <w:color w:val="333333"/>
          <w:lang/>
        </w:rPr>
        <w:t>文化等特色文化旅游资</w:t>
      </w:r>
      <w:r>
        <w:rPr>
          <w:rFonts w:ascii="ˎ̥" w:hAnsi="ˎ̥" w:cs="Helvetica"/>
          <w:color w:val="333333"/>
          <w:lang/>
        </w:rPr>
        <w:t>源，创新发展文化旅游和红色旅游；积极发展工业旅游、乡村旅游、康体旅游等旅游新业态。（牵头单位：市旅游局，责任单位：市文化广电新闻出版局）</w:t>
      </w:r>
      <w:r>
        <w:rPr>
          <w:rFonts w:ascii="ˎ̥" w:hAnsi="ˎ̥" w:cs="Helvetica"/>
          <w:color w:val="333333"/>
          <w:lang/>
        </w:rPr>
        <w:br/>
        <w:t xml:space="preserve">        </w:t>
      </w:r>
      <w:r>
        <w:rPr>
          <w:rFonts w:ascii="ˎ̥" w:hAnsi="ˎ̥" w:cs="Helvetica"/>
          <w:color w:val="333333"/>
          <w:lang/>
        </w:rPr>
        <w:t>（四）加快发展四大生产性服务业先导行业。以产业转型升级需求为导向，提升产业发展整体素质和产品附加值，引导企业向价值链高端延伸，做强先进制造业产业链</w:t>
      </w:r>
      <w:r>
        <w:rPr>
          <w:rFonts w:ascii="ˎ̥" w:hAnsi="ˎ̥" w:cs="Helvetica"/>
          <w:color w:val="333333"/>
          <w:lang/>
        </w:rPr>
        <w:t>“</w:t>
      </w:r>
      <w:r>
        <w:rPr>
          <w:rFonts w:ascii="ˎ̥" w:hAnsi="ˎ̥" w:cs="Helvetica"/>
          <w:color w:val="333333"/>
          <w:lang/>
        </w:rPr>
        <w:t>微笑曲线</w:t>
      </w:r>
      <w:r>
        <w:rPr>
          <w:rFonts w:ascii="ˎ̥" w:hAnsi="ˎ̥" w:cs="Helvetica"/>
          <w:color w:val="333333"/>
          <w:lang/>
        </w:rPr>
        <w:t>”</w:t>
      </w:r>
      <w:r>
        <w:rPr>
          <w:rFonts w:ascii="ˎ̥" w:hAnsi="ˎ̥" w:cs="Helvetica"/>
          <w:color w:val="333333"/>
          <w:lang/>
        </w:rPr>
        <w:t>两端，推动制造业关键领域和高端环节突破发展。</w:t>
      </w:r>
      <w:r>
        <w:rPr>
          <w:rFonts w:ascii="ˎ̥" w:hAnsi="ˎ̥" w:cs="Helvetica"/>
          <w:color w:val="333333"/>
          <w:lang/>
        </w:rPr>
        <w:br/>
        <w:t>        1.</w:t>
      </w:r>
      <w:r>
        <w:rPr>
          <w:rFonts w:ascii="ˎ̥" w:hAnsi="ˎ̥" w:cs="Helvetica"/>
          <w:color w:val="333333"/>
          <w:lang/>
        </w:rPr>
        <w:t xml:space="preserve">　金融业。进一步深化金融改革，扩大金融开放，推动金融创新，全面建设金融强市。加强与香港、深圳等区域金融合作，积极承接深港金融机构的金融</w:t>
      </w:r>
      <w:r>
        <w:rPr>
          <w:rFonts w:ascii="ˎ̥" w:hAnsi="ˎ̥" w:cs="Helvetica"/>
          <w:color w:val="333333"/>
          <w:lang/>
        </w:rPr>
        <w:t>外包、金融后援、金融科技、金融资本和金融培训等金融服务。积极引进国内外知名金融企业来惠设立分支机构，形成金融产业集群。推动资金链、创新链、产业链</w:t>
      </w:r>
      <w:r>
        <w:rPr>
          <w:rFonts w:ascii="ˎ̥" w:hAnsi="ˎ̥" w:cs="Helvetica"/>
          <w:color w:val="333333"/>
          <w:lang/>
        </w:rPr>
        <w:t>“</w:t>
      </w:r>
      <w:r>
        <w:rPr>
          <w:rFonts w:ascii="ˎ̥" w:hAnsi="ˎ̥" w:cs="Helvetica"/>
          <w:color w:val="333333"/>
          <w:lang/>
        </w:rPr>
        <w:t>三链融合</w:t>
      </w:r>
      <w:r>
        <w:rPr>
          <w:rFonts w:ascii="ˎ̥" w:hAnsi="ˎ̥" w:cs="Helvetica"/>
          <w:color w:val="333333"/>
          <w:lang/>
        </w:rPr>
        <w:t>”</w:t>
      </w:r>
      <w:r>
        <w:rPr>
          <w:rFonts w:ascii="ˎ̥" w:hAnsi="ˎ̥" w:cs="Helvetica"/>
          <w:color w:val="333333"/>
          <w:lang/>
        </w:rPr>
        <w:t>，引导金融资源助推科技成果转化，助推产业转型升级。加强科技与金融的融合，支持仲恺高新区发展成为</w:t>
      </w:r>
      <w:r>
        <w:rPr>
          <w:rFonts w:ascii="ˎ̥" w:hAnsi="ˎ̥" w:cs="Helvetica"/>
          <w:color w:val="333333"/>
          <w:lang/>
        </w:rPr>
        <w:t>“</w:t>
      </w:r>
      <w:r>
        <w:rPr>
          <w:rFonts w:ascii="ˎ̥" w:hAnsi="ˎ̥" w:cs="Helvetica"/>
          <w:color w:val="333333"/>
          <w:lang/>
        </w:rPr>
        <w:t>科技与金融结合</w:t>
      </w:r>
      <w:r>
        <w:rPr>
          <w:rFonts w:ascii="ˎ̥" w:hAnsi="ˎ̥" w:cs="Helvetica"/>
          <w:color w:val="333333"/>
          <w:lang/>
        </w:rPr>
        <w:t>”</w:t>
      </w:r>
      <w:r>
        <w:rPr>
          <w:rFonts w:ascii="ˎ̥" w:hAnsi="ˎ̥" w:cs="Helvetica"/>
          <w:color w:val="333333"/>
          <w:lang/>
        </w:rPr>
        <w:t>改革示范区。加快转变金融发展方式，建设城乡协调发展和符合惠州产业结构发展需要的现代金融产业体系。（牵头单位：市金融工作局，责任单位：人民银行惠州市中心支行，惠州银监分局，市科技局）</w:t>
      </w:r>
      <w:r>
        <w:rPr>
          <w:rFonts w:ascii="ˎ̥" w:hAnsi="ˎ̥" w:cs="Helvetica"/>
          <w:color w:val="333333"/>
          <w:lang/>
        </w:rPr>
        <w:br/>
        <w:t xml:space="preserve">        2.  </w:t>
      </w:r>
      <w:r>
        <w:rPr>
          <w:rFonts w:ascii="ˎ̥" w:hAnsi="ˎ̥" w:cs="Helvetica"/>
          <w:color w:val="333333"/>
          <w:lang/>
        </w:rPr>
        <w:t>科技服务业。有效服务于科技创新创业，加</w:t>
      </w:r>
      <w:r>
        <w:rPr>
          <w:rFonts w:ascii="ˎ̥" w:hAnsi="ˎ̥" w:cs="Helvetica"/>
          <w:color w:val="333333"/>
          <w:lang/>
        </w:rPr>
        <w:t>强科技服务基础设施和服务能力建设，坚持政府引导、社会参与、分工协作、多元发展，集聚创新资源，激活创新要素，转化创新成果，提高创新能力。加快推进</w:t>
      </w:r>
      <w:r>
        <w:rPr>
          <w:rFonts w:ascii="ˎ̥" w:hAnsi="ˎ̥" w:cs="Helvetica"/>
          <w:color w:val="333333"/>
          <w:lang/>
        </w:rPr>
        <w:t>“</w:t>
      </w:r>
      <w:r>
        <w:rPr>
          <w:rFonts w:ascii="ˎ̥" w:hAnsi="ˎ̥" w:cs="Helvetica"/>
          <w:color w:val="333333"/>
          <w:lang/>
        </w:rPr>
        <w:t>两所两装置</w:t>
      </w:r>
      <w:r>
        <w:rPr>
          <w:rFonts w:ascii="ˎ̥" w:hAnsi="ˎ̥" w:cs="Helvetica"/>
          <w:color w:val="333333"/>
          <w:lang/>
        </w:rPr>
        <w:t>”</w:t>
      </w:r>
      <w:r>
        <w:rPr>
          <w:rFonts w:ascii="ˎ̥" w:hAnsi="ˎ̥" w:cs="Helvetica"/>
          <w:color w:val="333333"/>
          <w:lang/>
        </w:rPr>
        <w:t>建设，把惠州打造成为</w:t>
      </w:r>
      <w:r>
        <w:rPr>
          <w:rFonts w:ascii="ˎ̥" w:hAnsi="ˎ̥" w:cs="Helvetica"/>
          <w:color w:val="333333"/>
          <w:lang/>
        </w:rPr>
        <w:t>“</w:t>
      </w:r>
      <w:r>
        <w:rPr>
          <w:rFonts w:ascii="ˎ̥" w:hAnsi="ˎ̥" w:cs="Helvetica"/>
          <w:color w:val="333333"/>
          <w:lang/>
        </w:rPr>
        <w:t>珠三角大科学中心</w:t>
      </w:r>
      <w:r>
        <w:rPr>
          <w:rFonts w:ascii="ˎ̥" w:hAnsi="ˎ̥" w:cs="Helvetica"/>
          <w:color w:val="333333"/>
          <w:lang/>
        </w:rPr>
        <w:t>”</w:t>
      </w:r>
      <w:r>
        <w:rPr>
          <w:rFonts w:ascii="ˎ̥" w:hAnsi="ˎ̥" w:cs="Helvetica"/>
          <w:color w:val="333333"/>
          <w:lang/>
        </w:rPr>
        <w:t>的核心组成部分。重点鼓励发展专业化的科技研发、科技咨询、知识产权服务、检验检测、科技创业孵化服务等业态，集中组建技术开发及转移、科技信息及咨询、知识产权及认证、技术转让及交易等科技公共服务平台，加强区域性和行业性生产力促进机构以及科技创业服务机构的建设，以推动科技成果的转化，实现科技服务的规模化。（牵头单位：市科技</w:t>
      </w:r>
      <w:r>
        <w:rPr>
          <w:rFonts w:ascii="ˎ̥" w:hAnsi="ˎ̥" w:cs="Helvetica"/>
          <w:color w:val="333333"/>
          <w:lang/>
        </w:rPr>
        <w:t>局，责任单位：市发展改革局）</w:t>
      </w:r>
      <w:r>
        <w:rPr>
          <w:rFonts w:ascii="ˎ̥" w:hAnsi="ˎ̥" w:cs="Helvetica"/>
          <w:color w:val="333333"/>
          <w:lang/>
        </w:rPr>
        <w:br/>
        <w:t>        3.</w:t>
      </w:r>
      <w:r>
        <w:rPr>
          <w:rFonts w:ascii="ˎ̥" w:hAnsi="ˎ̥" w:cs="Helvetica"/>
          <w:color w:val="333333"/>
          <w:lang/>
        </w:rPr>
        <w:t xml:space="preserve">　信息服务业。建设软件与信息服务业强市，加快建设以大亚湾开发区、仲恺高新区、惠城区、惠阳区为依托的软件产业基地、信息服务基地、服务外包基地，打造成为广东省软件与信息服务业重要产业基地。重点发展大数据、云计算、物联网、移动互联网等产业，做大地理空间信息（北斗导航）、工业软件、集成电路设计、嵌入式软件等软件信息服务产业链，加快数字内容加工处理、服务外包、信息系统集成及信息技术咨询服务、信息安全软件等领域发展。以</w:t>
      </w:r>
      <w:r>
        <w:rPr>
          <w:rFonts w:ascii="ˎ̥" w:hAnsi="ˎ̥" w:cs="Helvetica"/>
          <w:color w:val="333333"/>
          <w:lang/>
        </w:rPr>
        <w:t>“</w:t>
      </w:r>
      <w:r>
        <w:rPr>
          <w:rFonts w:ascii="ˎ̥" w:hAnsi="ˎ̥" w:cs="Helvetica"/>
          <w:color w:val="333333"/>
          <w:lang/>
        </w:rPr>
        <w:t>互联网＋</w:t>
      </w:r>
      <w:r>
        <w:rPr>
          <w:rFonts w:ascii="ˎ̥" w:hAnsi="ˎ̥" w:cs="Helvetica"/>
          <w:color w:val="333333"/>
          <w:lang/>
        </w:rPr>
        <w:t>”</w:t>
      </w:r>
      <w:r>
        <w:rPr>
          <w:rFonts w:ascii="ˎ̥" w:hAnsi="ˎ̥" w:cs="Helvetica"/>
          <w:color w:val="333333"/>
          <w:lang/>
        </w:rPr>
        <w:t>为升级动力，形成信息技术改造传统工业、提</w:t>
      </w:r>
      <w:r>
        <w:rPr>
          <w:rFonts w:ascii="ˎ̥" w:hAnsi="ˎ̥" w:cs="Helvetica"/>
          <w:color w:val="333333"/>
          <w:lang/>
        </w:rPr>
        <w:t>升先进制造业，进一步推动物联网、大数据、云计算技术在我市工业领域的广泛应用。（牵头单位：市经济和信息化局，责任单位：市科技局、商务局）</w:t>
      </w:r>
      <w:r>
        <w:rPr>
          <w:rFonts w:ascii="ˎ̥" w:hAnsi="ˎ̥" w:cs="Helvetica"/>
          <w:color w:val="333333"/>
          <w:lang/>
        </w:rPr>
        <w:br/>
        <w:t>        4.</w:t>
      </w:r>
      <w:r>
        <w:rPr>
          <w:rFonts w:ascii="ˎ̥" w:hAnsi="ˎ̥" w:cs="Helvetica"/>
          <w:color w:val="333333"/>
          <w:lang/>
        </w:rPr>
        <w:t xml:space="preserve">　文化创意产业。进一步挖掘和整合我市文化资源，吸引创意企业及人才打造创意园区，打响</w:t>
      </w:r>
      <w:r>
        <w:rPr>
          <w:rFonts w:ascii="ˎ̥" w:hAnsi="ˎ̥" w:cs="Helvetica"/>
          <w:color w:val="333333"/>
          <w:lang/>
        </w:rPr>
        <w:t>“</w:t>
      </w:r>
      <w:r>
        <w:rPr>
          <w:rFonts w:ascii="ˎ̥" w:hAnsi="ˎ̥" w:cs="Helvetica"/>
          <w:color w:val="333333"/>
          <w:lang/>
        </w:rPr>
        <w:t>创意惠州</w:t>
      </w:r>
      <w:r>
        <w:rPr>
          <w:rFonts w:ascii="ˎ̥" w:hAnsi="ˎ̥" w:cs="Helvetica"/>
          <w:color w:val="333333"/>
          <w:lang/>
        </w:rPr>
        <w:t>”</w:t>
      </w:r>
      <w:r>
        <w:rPr>
          <w:rFonts w:ascii="ˎ̥" w:hAnsi="ˎ̥" w:cs="Helvetica"/>
          <w:color w:val="333333"/>
          <w:lang/>
        </w:rPr>
        <w:t>品牌。积极搭建知识产权、信息、交易、技术、展示公共服务平台，构建与完善文化创意产业链条。优化提升文化会展、广告、文化旅游等优势产业，培育发展工业设计、文化博览、动漫游戏、</w:t>
      </w:r>
      <w:r>
        <w:rPr>
          <w:rFonts w:ascii="ˎ̥" w:hAnsi="ˎ̥" w:cs="Helvetica"/>
          <w:color w:val="333333"/>
          <w:lang/>
        </w:rPr>
        <w:t>VR</w:t>
      </w:r>
      <w:r>
        <w:rPr>
          <w:rFonts w:ascii="ˎ̥" w:hAnsi="ˎ̥" w:cs="Helvetica"/>
          <w:color w:val="333333"/>
          <w:lang/>
        </w:rPr>
        <w:t>（虚拟现实）产业等新兴文化产业。推进文化与多领域融合发展，大力推进文化与科技、旅游、金融</w:t>
      </w:r>
      <w:r>
        <w:rPr>
          <w:rFonts w:ascii="ˎ̥" w:hAnsi="ˎ̥" w:cs="Helvetica"/>
          <w:color w:val="333333"/>
          <w:lang/>
        </w:rPr>
        <w:t>、互联网的融合，提高文化产品和服务的科技含量，促进数字广播、数字报纸、数字电视、数字出版、动漫制作、网络软件等行业加快发展。（牵头单位：市文化广电新闻出版局，责任单位：市经济和信息化局、商务局、旅游局）</w:t>
      </w:r>
      <w:r>
        <w:rPr>
          <w:rFonts w:ascii="ˎ̥" w:hAnsi="ˎ̥" w:cs="Helvetica"/>
          <w:color w:val="333333"/>
          <w:lang/>
        </w:rPr>
        <w:br/>
        <w:t>        </w:t>
      </w:r>
      <w:r>
        <w:rPr>
          <w:rFonts w:ascii="ˎ̥" w:hAnsi="ˎ̥" w:cs="Helvetica"/>
          <w:color w:val="333333"/>
          <w:lang/>
        </w:rPr>
        <w:t>（五）提升发展两大生活性服务行业。适应居民消费升级的新形势新要求，重点发展贴近人民群众生活、需求潜力大、带动力强的生活性服务业，着力丰富服务内容、创新服务方式，推动生活性服务业便利化、精细化、品质化发展。</w:t>
      </w:r>
      <w:r>
        <w:rPr>
          <w:rFonts w:ascii="ˎ̥" w:hAnsi="ˎ̥" w:cs="Helvetica"/>
          <w:color w:val="333333"/>
          <w:lang/>
        </w:rPr>
        <w:br/>
        <w:t>        1.</w:t>
      </w:r>
      <w:r>
        <w:rPr>
          <w:rFonts w:ascii="ˎ̥" w:hAnsi="ˎ̥" w:cs="Helvetica"/>
          <w:color w:val="333333"/>
          <w:lang/>
        </w:rPr>
        <w:t xml:space="preserve">　商贸服务业。建设现代商贸流通体系，着力优化商业层级，创新经营业态</w:t>
      </w:r>
      <w:r>
        <w:rPr>
          <w:rFonts w:ascii="ˎ̥" w:hAnsi="ˎ̥" w:cs="Helvetica"/>
          <w:color w:val="333333"/>
          <w:lang/>
        </w:rPr>
        <w:t>，大力发展现代流通方式，推动专业市场转型升级，打造珠三角重要的商贸服务集聚区。畅通农村商贸渠道，鼓励发展农产品批发市场、集贸市场以及农产品冷链物流设施。着力推进集购物、休闲、美食、娱乐、商务于一体的大型综合体建设，大力发展以购物中心、主题商场、商业街和特色商业集聚区为核心的家庭型一站式消费功能和业态，引导家庭消费。积极引进时尚百货、生活超市、专业店、专卖店等具有前沿生活代表性的业态，引领地区时尚潮流。突出具有惠州文化传统特色的商圈建设，结合现有旅游景点资源，利用文化传统、文化活动等推动文商旅融合发展。（牵头</w:t>
      </w:r>
      <w:r>
        <w:rPr>
          <w:rFonts w:ascii="ˎ̥" w:hAnsi="ˎ̥" w:cs="Helvetica"/>
          <w:color w:val="333333"/>
          <w:lang/>
        </w:rPr>
        <w:t>单位：市商务局，责任单位：市旅游局）</w:t>
      </w:r>
      <w:r>
        <w:rPr>
          <w:rFonts w:ascii="ˎ̥" w:hAnsi="ˎ̥" w:cs="Helvetica"/>
          <w:color w:val="333333"/>
          <w:lang/>
        </w:rPr>
        <w:br/>
        <w:t>        2.</w:t>
      </w:r>
      <w:r>
        <w:rPr>
          <w:rFonts w:ascii="ˎ̥" w:hAnsi="ˎ̥" w:cs="Helvetica"/>
          <w:color w:val="333333"/>
          <w:lang/>
        </w:rPr>
        <w:t xml:space="preserve">　健康和养生服务业。以健康管理、健康照护、健康休闲、移动健康等为重点，面向社会公众日益增长的多层次、个性化健康管理需求，探索集预防、评估、跟踪、随访、干预、指导、教育与促进为一体的新型健康管理服务模式，培育一批以个性化服务、会员制经营、整体式推进为特色的健康管理企业，发展家庭医生、个性化体检、疾病筛查、保健指导、健康干预、慢病管理、心理健康咨询等特色健康管理服务。发展运动养生、生态养生、文化养生、医疗养生、美食养生等服务。鼓励和支持社会各界积极参与养</w:t>
      </w:r>
      <w:r>
        <w:rPr>
          <w:rFonts w:ascii="ˎ̥" w:hAnsi="ˎ̥" w:cs="Helvetica"/>
          <w:color w:val="333333"/>
          <w:lang/>
        </w:rPr>
        <w:t>老服务体系建设，引导社会资本进入养老服务业领域，满足多样化的养老服务需求。（牵头单位：市卫生和计划生育局，责任单位：市民政局）</w:t>
      </w:r>
      <w:r>
        <w:rPr>
          <w:rFonts w:ascii="ˎ̥" w:hAnsi="ˎ̥" w:cs="Helvetica"/>
          <w:color w:val="333333"/>
          <w:lang/>
        </w:rPr>
        <w:br/>
        <w:t>        </w:t>
      </w:r>
      <w:r>
        <w:rPr>
          <w:rFonts w:ascii="ˎ̥" w:hAnsi="ˎ̥" w:cs="Helvetica"/>
          <w:color w:val="333333"/>
          <w:lang/>
        </w:rPr>
        <w:t>（六）培育发展新兴服务业。抢抓产业跨界融合发展新机遇，把握居民收入水平、人口结构和消费升级等发展趋势，运用互联网、大数据、云计算等推动服务创新，不断催生现代服务业新产业、新业态、新商业模式。鼓励发展节能环保服务，促进污染治理市场化、专业化和产业化发展，培育一批具有一定规模优势、专业技术水平高、综合服务能力强的第三方治理骨干企业。鼓励发展供应链管理服务，着力提升面向制</w:t>
      </w:r>
      <w:r>
        <w:rPr>
          <w:rFonts w:ascii="ˎ̥" w:hAnsi="ˎ̥" w:cs="Helvetica"/>
          <w:color w:val="333333"/>
          <w:lang/>
        </w:rPr>
        <w:t>造业的供应链管理服务水平，支持大型制造企业全面引入供应链管理，鼓励中小企业与供应链管理服务企业合作。鼓励发展电子商务，培育和引进信息技术、法律、金融、咨询、人力资源、电子商务解决方案、电子商务代运营、电子商务代理等领域的企业，提高专业化服务水平。鼓励发展商务咨询，引导商务咨询企业以促进产业转型升级为重点，提升商务咨询服务专业化、规模化、网络化水平。鼓励发展教育培训服务，大力加强各类人才培养，创新人才培养模式，坚持产教融合、校企合作、工学结合，强化专业人才培养；以提升生活性服务质量为核心，发展形式多样的教育培</w:t>
      </w:r>
      <w:r>
        <w:rPr>
          <w:rFonts w:ascii="ˎ̥" w:hAnsi="ˎ̥" w:cs="Helvetica"/>
          <w:color w:val="333333"/>
          <w:lang/>
        </w:rPr>
        <w:t>训服务，推动职业培训集约发展、内涵发展、融合发展、特色发展。（牵头单位：市经济和信息化局，责任单位：市环保局、商务局、教育局、人力资源和社会保障局）</w:t>
      </w:r>
      <w:r>
        <w:rPr>
          <w:rFonts w:ascii="ˎ̥" w:hAnsi="ˎ̥" w:cs="Helvetica"/>
          <w:color w:val="333333"/>
          <w:lang/>
        </w:rPr>
        <w:br/>
        <w:t xml:space="preserve">        </w:t>
      </w:r>
      <w:r>
        <w:rPr>
          <w:rFonts w:ascii="ˎ̥" w:hAnsi="ˎ̥" w:cs="Helvetica"/>
          <w:color w:val="333333"/>
          <w:lang/>
        </w:rPr>
        <w:t>三、构建重大平台和载体</w:t>
      </w:r>
      <w:r>
        <w:rPr>
          <w:rFonts w:ascii="ˎ̥" w:hAnsi="ˎ̥" w:cs="Helvetica"/>
          <w:color w:val="333333"/>
          <w:lang/>
        </w:rPr>
        <w:br/>
        <w:t xml:space="preserve">        </w:t>
      </w:r>
      <w:r>
        <w:rPr>
          <w:rFonts w:ascii="ˎ̥" w:hAnsi="ˎ̥" w:cs="Helvetica"/>
          <w:color w:val="333333"/>
          <w:lang/>
        </w:rPr>
        <w:t>（七）打造重大平台。发挥重大平台的引领作用，加快建设环大亚湾新区、潼湖生态智慧区、珠三角（惠州）国家自主创新示范区和中韩（惠州）产业园。环大亚湾新区发挥毗邻深港优势，深化深惠、港惠服务业合作，加快发展海港、空港经济，强化现代物流、滨海旅游、产业金融、服务外包、文化创意等功能，提升惠州在珠江口东岸地区的综合</w:t>
      </w:r>
      <w:r>
        <w:rPr>
          <w:rFonts w:ascii="ˎ̥" w:hAnsi="ˎ̥" w:cs="Helvetica"/>
          <w:color w:val="333333"/>
          <w:lang/>
        </w:rPr>
        <w:t>服务能力。潼湖生态智慧区重点发展商务金融、商贸物流、科技创新、工业设计、文化产业、教育培训、生态旅游、康体休闲等产业，推动潼湖生态智慧区向服务型经济发展。珠三角（惠州）国家自主创新示范区重点加快科技服务、金融服务、文化创意等现代服务业发展，引进和培育一批具有国内或国际先进水平的研究中心、检测机构和科技中介服务机构。高标准规划建设中韩（惠州）产业园，促进中韩产学研交流合作，大力引进和培育云计算与大数据产业、文化创意产业、健康医疗产业、生态旅游产业等现代服务业新产业、新业态。举全市之力支持重大平台建设，市财政安</w:t>
      </w:r>
      <w:r>
        <w:rPr>
          <w:rFonts w:ascii="ˎ̥" w:hAnsi="ˎ̥" w:cs="Helvetica"/>
          <w:color w:val="333333"/>
          <w:lang/>
        </w:rPr>
        <w:t>排专项资金用于环大亚湾新区、潼湖生态智慧区和中韩（惠州）产业园的基础设施建设。（牵头单位：仲恺高新区、环大亚湾新区管委会，潼湖生态智慧区指挥部，责任单位：市发展改革局、住房和城乡规划建设局、商务局、财政局）</w:t>
      </w:r>
      <w:r>
        <w:rPr>
          <w:rFonts w:ascii="ˎ̥" w:hAnsi="ˎ̥" w:cs="Helvetica"/>
          <w:color w:val="333333"/>
          <w:lang/>
        </w:rPr>
        <w:br/>
        <w:t>        </w:t>
      </w:r>
      <w:r>
        <w:rPr>
          <w:rFonts w:ascii="ˎ̥" w:hAnsi="ˎ̥" w:cs="Helvetica"/>
          <w:color w:val="333333"/>
          <w:lang/>
        </w:rPr>
        <w:t>（八）加快</w:t>
      </w:r>
      <w:r>
        <w:rPr>
          <w:rFonts w:ascii="ˎ̥" w:hAnsi="ˎ̥" w:cs="Helvetica"/>
          <w:color w:val="333333"/>
          <w:lang/>
        </w:rPr>
        <w:t>“</w:t>
      </w:r>
      <w:r>
        <w:rPr>
          <w:rFonts w:ascii="ˎ̥" w:hAnsi="ˎ̥" w:cs="Helvetica"/>
          <w:color w:val="333333"/>
          <w:lang/>
        </w:rPr>
        <w:t>两港三网</w:t>
      </w:r>
      <w:r>
        <w:rPr>
          <w:rFonts w:ascii="ˎ̥" w:hAnsi="ˎ̥" w:cs="Helvetica"/>
          <w:color w:val="333333"/>
          <w:lang/>
        </w:rPr>
        <w:t>”</w:t>
      </w:r>
      <w:r>
        <w:rPr>
          <w:rFonts w:ascii="ˎ̥" w:hAnsi="ˎ̥" w:cs="Helvetica"/>
          <w:color w:val="333333"/>
          <w:lang/>
        </w:rPr>
        <w:t>基础设施建设。加快推进惠州港建设，完善港航公共基础设施，重点推进港口码头和航道工程建设，加快迈入亿吨港行列。按照</w:t>
      </w:r>
      <w:r>
        <w:rPr>
          <w:rFonts w:ascii="ˎ̥" w:hAnsi="ˎ̥" w:cs="Helvetica"/>
          <w:color w:val="333333"/>
          <w:lang/>
        </w:rPr>
        <w:t>4E</w:t>
      </w:r>
      <w:r>
        <w:rPr>
          <w:rFonts w:ascii="ˎ̥" w:hAnsi="ˎ̥" w:cs="Helvetica"/>
          <w:color w:val="333333"/>
          <w:lang/>
        </w:rPr>
        <w:t>标准加快推进惠州机场二期改扩建工程，开通更多航线，不断提高吞吐量特别是服务生产的能力。加快推进高速公路网建设，进一步完善</w:t>
      </w:r>
      <w:r>
        <w:rPr>
          <w:rFonts w:ascii="ˎ̥" w:hAnsi="ˎ̥" w:cs="Helvetica"/>
          <w:color w:val="333333"/>
          <w:lang/>
        </w:rPr>
        <w:t>“</w:t>
      </w:r>
      <w:r>
        <w:rPr>
          <w:rFonts w:ascii="ˎ̥" w:hAnsi="ˎ̥" w:cs="Helvetica"/>
          <w:color w:val="333333"/>
          <w:lang/>
        </w:rPr>
        <w:t>七横五纵一连</w:t>
      </w:r>
      <w:r>
        <w:rPr>
          <w:rFonts w:ascii="ˎ̥" w:hAnsi="ˎ̥" w:cs="Helvetica"/>
          <w:color w:val="333333"/>
          <w:lang/>
        </w:rPr>
        <w:t>”</w:t>
      </w:r>
      <w:r>
        <w:rPr>
          <w:rFonts w:ascii="ˎ̥" w:hAnsi="ˎ̥" w:cs="Helvetica"/>
          <w:color w:val="333333"/>
          <w:lang/>
        </w:rPr>
        <w:t>的高速公路骨架</w:t>
      </w:r>
      <w:r>
        <w:rPr>
          <w:rFonts w:ascii="ˎ̥" w:hAnsi="ˎ̥" w:cs="Helvetica"/>
          <w:color w:val="333333"/>
          <w:lang/>
        </w:rPr>
        <w:t>网。加快推进轨道交通网建设，启动赣深高铁、广汕高铁、深圳地铁</w:t>
      </w:r>
      <w:r>
        <w:rPr>
          <w:rFonts w:ascii="ˎ̥" w:hAnsi="ˎ̥" w:cs="Helvetica"/>
          <w:color w:val="333333"/>
          <w:lang/>
        </w:rPr>
        <w:t>14</w:t>
      </w:r>
      <w:r>
        <w:rPr>
          <w:rFonts w:ascii="ˎ̥" w:hAnsi="ˎ̥" w:cs="Helvetica"/>
          <w:color w:val="333333"/>
          <w:lang/>
        </w:rPr>
        <w:t>号线延伸至惠阳等项目建设，抓紧开展深惠城轨、惠州市区地铁</w:t>
      </w:r>
      <w:r>
        <w:rPr>
          <w:rFonts w:ascii="ˎ̥" w:hAnsi="ˎ̥" w:cs="Helvetica"/>
          <w:color w:val="333333"/>
          <w:lang/>
        </w:rPr>
        <w:t>1</w:t>
      </w:r>
      <w:r>
        <w:rPr>
          <w:rFonts w:ascii="ˎ̥" w:hAnsi="ˎ̥" w:cs="Helvetica"/>
          <w:color w:val="333333"/>
          <w:lang/>
        </w:rPr>
        <w:t>号线等项目前期工作，推动惠州与广州、深圳乃至香港三大城市构建</w:t>
      </w:r>
      <w:r>
        <w:rPr>
          <w:rFonts w:ascii="ˎ̥" w:hAnsi="ˎ̥" w:cs="Helvetica"/>
          <w:color w:val="333333"/>
          <w:lang/>
        </w:rPr>
        <w:t>“</w:t>
      </w:r>
      <w:r>
        <w:rPr>
          <w:rFonts w:ascii="ˎ̥" w:hAnsi="ˎ̥" w:cs="Helvetica"/>
          <w:color w:val="333333"/>
          <w:lang/>
        </w:rPr>
        <w:t>半小时生活圈</w:t>
      </w:r>
      <w:r>
        <w:rPr>
          <w:rFonts w:ascii="ˎ̥" w:hAnsi="ˎ̥" w:cs="Helvetica"/>
          <w:color w:val="333333"/>
          <w:lang/>
        </w:rPr>
        <w:t>”</w:t>
      </w:r>
      <w:r>
        <w:rPr>
          <w:rFonts w:ascii="ˎ̥" w:hAnsi="ˎ̥" w:cs="Helvetica"/>
          <w:color w:val="333333"/>
          <w:lang/>
        </w:rPr>
        <w:t>。加强信息基础设施建设，加快建设宽带通信网，扩容升级互联网骨干网和城域网，力争建成无线城市，实现全市主要公共场所无线局域网全覆盖。（牵头单位：市发展改革局，责任单位：市交通运输局、住房和城乡规划建设局、经济和信息化局、港务局）</w:t>
      </w:r>
      <w:r>
        <w:rPr>
          <w:rFonts w:ascii="ˎ̥" w:hAnsi="ˎ̥" w:cs="Helvetica"/>
          <w:color w:val="333333"/>
          <w:lang/>
        </w:rPr>
        <w:br/>
        <w:t xml:space="preserve">       </w:t>
      </w:r>
      <w:r>
        <w:rPr>
          <w:rFonts w:ascii="ˎ̥" w:hAnsi="ˎ̥" w:cs="Helvetica"/>
          <w:color w:val="333333"/>
          <w:lang/>
        </w:rPr>
        <w:t>（九）加快建设现代服务业集聚区。围绕特色主导产业，重点发展商务服务、文化</w:t>
      </w:r>
      <w:r>
        <w:rPr>
          <w:rFonts w:ascii="ˎ̥" w:hAnsi="ˎ̥" w:cs="Helvetica"/>
          <w:color w:val="333333"/>
          <w:lang/>
        </w:rPr>
        <w:t>创意、科技服务、现代物流、综合性生产服务、大型专业市场、休闲旅游、农业服务等类型现代服务业集聚区。完善优化</w:t>
      </w:r>
      <w:r>
        <w:rPr>
          <w:rFonts w:ascii="ˎ̥" w:hAnsi="ˎ̥" w:cs="Helvetica"/>
          <w:color w:val="333333"/>
          <w:lang/>
        </w:rPr>
        <w:t>50</w:t>
      </w:r>
      <w:r>
        <w:rPr>
          <w:rFonts w:ascii="ˎ̥" w:hAnsi="ˎ̥" w:cs="Helvetica"/>
          <w:color w:val="333333"/>
          <w:lang/>
        </w:rPr>
        <w:t>个在地域、功能和形态方面具有鲜明特色、层次较高的现代服务业集聚区，形成资源集合、产业集聚、功能集成的现代服务业空间发展新格局。中心城区的集聚区重点以总部经济、金融保险、文化创意、商贸物流等都市型高端现代服务业为主。其他集聚区以与先进制造业、传统优势产业的配套服务以及生态农业、旅游文化服务业为主。依托我市石化和电子信息支柱产业，打造高端商务、现代物流、科技服务等重点突显、特色鲜明的服务业示范区。（牵头</w:t>
      </w:r>
      <w:r>
        <w:rPr>
          <w:rFonts w:ascii="ˎ̥" w:hAnsi="ˎ̥" w:cs="Helvetica"/>
          <w:color w:val="333333"/>
          <w:lang/>
        </w:rPr>
        <w:t>单位：市发展改革局，责任单位：市商务局、文化广电新闻出版局、科技局、旅游局、住房和城乡规划建设局）</w:t>
      </w:r>
      <w:r>
        <w:rPr>
          <w:rFonts w:ascii="ˎ̥" w:hAnsi="ˎ̥" w:cs="Helvetica"/>
          <w:color w:val="333333"/>
          <w:lang/>
        </w:rPr>
        <w:br/>
        <w:t xml:space="preserve">        </w:t>
      </w:r>
      <w:r>
        <w:rPr>
          <w:rFonts w:ascii="ˎ̥" w:hAnsi="ˎ̥" w:cs="Helvetica"/>
          <w:color w:val="333333"/>
          <w:lang/>
        </w:rPr>
        <w:t>（十）大力发展总部经济。培育一批本土总部企业，支持有条件的大企业集团到省外、国外建立分公司、子公司。引进一批国内外总部企业，重点引进世界</w:t>
      </w:r>
      <w:r>
        <w:rPr>
          <w:rFonts w:ascii="ˎ̥" w:hAnsi="ˎ̥" w:cs="Helvetica"/>
          <w:color w:val="333333"/>
          <w:lang/>
        </w:rPr>
        <w:t>500</w:t>
      </w:r>
      <w:r>
        <w:rPr>
          <w:rFonts w:ascii="ˎ̥" w:hAnsi="ˎ̥" w:cs="Helvetica"/>
          <w:color w:val="333333"/>
          <w:lang/>
        </w:rPr>
        <w:t>强企业、中国</w:t>
      </w:r>
      <w:r>
        <w:rPr>
          <w:rFonts w:ascii="ˎ̥" w:hAnsi="ˎ̥" w:cs="Helvetica"/>
          <w:color w:val="333333"/>
          <w:lang/>
        </w:rPr>
        <w:t>500</w:t>
      </w:r>
      <w:r>
        <w:rPr>
          <w:rFonts w:ascii="ˎ̥" w:hAnsi="ˎ̥" w:cs="Helvetica"/>
          <w:color w:val="333333"/>
          <w:lang/>
        </w:rPr>
        <w:t>强企业、中国服务业</w:t>
      </w:r>
      <w:r>
        <w:rPr>
          <w:rFonts w:ascii="ˎ̥" w:hAnsi="ˎ̥" w:cs="Helvetica"/>
          <w:color w:val="333333"/>
          <w:lang/>
        </w:rPr>
        <w:t>500</w:t>
      </w:r>
      <w:r>
        <w:rPr>
          <w:rFonts w:ascii="ˎ̥" w:hAnsi="ˎ̥" w:cs="Helvetica"/>
          <w:color w:val="333333"/>
          <w:lang/>
        </w:rPr>
        <w:t>强企业、跨国公司、中央大企业等设立综合型总部或职能型总部机构。市政府对总部企业的落户和经营贡献给予奖励，对新设立或迁入我市的企业，经认定为综合型总部企业的，按市的有关规定可分别给予最高不超过</w:t>
      </w:r>
      <w:r>
        <w:rPr>
          <w:rFonts w:ascii="ˎ̥" w:hAnsi="ˎ̥" w:cs="Helvetica"/>
          <w:color w:val="333333"/>
          <w:lang/>
        </w:rPr>
        <w:t>500</w:t>
      </w:r>
      <w:r>
        <w:rPr>
          <w:rFonts w:ascii="ˎ̥" w:hAnsi="ˎ̥" w:cs="Helvetica"/>
          <w:color w:val="333333"/>
          <w:lang/>
        </w:rPr>
        <w:t>万元的总部企业落</w:t>
      </w:r>
      <w:r>
        <w:rPr>
          <w:rFonts w:ascii="ˎ̥" w:hAnsi="ˎ̥" w:cs="Helvetica"/>
          <w:color w:val="333333"/>
          <w:lang/>
        </w:rPr>
        <w:t>户奖和总部企业经营贡献奖；经认定为职能型总部企业的，按市的有关规定可分别给予最高不超过</w:t>
      </w:r>
      <w:r>
        <w:rPr>
          <w:rFonts w:ascii="ˎ̥" w:hAnsi="ˎ̥" w:cs="Helvetica"/>
          <w:color w:val="333333"/>
          <w:lang/>
        </w:rPr>
        <w:t>300</w:t>
      </w:r>
      <w:r>
        <w:rPr>
          <w:rFonts w:ascii="ˎ̥" w:hAnsi="ˎ̥" w:cs="Helvetica"/>
          <w:color w:val="333333"/>
          <w:lang/>
        </w:rPr>
        <w:t>万元的总部企业落户奖和总部企业经营贡献奖。（牵头单位：市经济和信息化局，责任单位：市金融工作局、商务局）</w:t>
      </w:r>
      <w:r>
        <w:rPr>
          <w:rFonts w:ascii="ˎ̥" w:hAnsi="ˎ̥" w:cs="Helvetica"/>
          <w:color w:val="333333"/>
          <w:lang/>
        </w:rPr>
        <w:br/>
        <w:t xml:space="preserve">        </w:t>
      </w:r>
      <w:r>
        <w:rPr>
          <w:rFonts w:ascii="ˎ̥" w:hAnsi="ˎ̥" w:cs="Helvetica"/>
          <w:color w:val="333333"/>
          <w:lang/>
        </w:rPr>
        <w:t>四、培育壮大市场主体</w:t>
      </w:r>
      <w:r>
        <w:rPr>
          <w:rFonts w:ascii="ˎ̥" w:hAnsi="ˎ̥" w:cs="Helvetica"/>
          <w:color w:val="333333"/>
          <w:lang/>
        </w:rPr>
        <w:br/>
        <w:t xml:space="preserve">       </w:t>
      </w:r>
      <w:r>
        <w:rPr>
          <w:rFonts w:ascii="ˎ̥" w:hAnsi="ˎ̥" w:cs="Helvetica"/>
          <w:color w:val="333333"/>
          <w:lang/>
        </w:rPr>
        <w:t>（十一）加大财政扶持力度。用好各级财政设立的政策性基金，统筹市级现有专项资金，支持我市现代服务业市场主体做大做强。市财政新增每年</w:t>
      </w:r>
      <w:r>
        <w:rPr>
          <w:rFonts w:ascii="ˎ̥" w:hAnsi="ˎ̥" w:cs="Helvetica"/>
          <w:color w:val="333333"/>
          <w:lang/>
        </w:rPr>
        <w:t>5000</w:t>
      </w:r>
      <w:r>
        <w:rPr>
          <w:rFonts w:ascii="ˎ̥" w:hAnsi="ˎ̥" w:cs="Helvetica"/>
          <w:color w:val="333333"/>
          <w:lang/>
        </w:rPr>
        <w:t>万元市级现代服务业发展专项资金，用于现代服务业的专项奖补，支持一批示范带动作用明显的龙头企业和龙头项目，具体办法另行制定并报市</w:t>
      </w:r>
      <w:r>
        <w:rPr>
          <w:rFonts w:ascii="ˎ̥" w:hAnsi="ˎ̥" w:cs="Helvetica"/>
          <w:color w:val="333333"/>
          <w:lang/>
        </w:rPr>
        <w:t>政府审定。重点支持范围包括：</w:t>
      </w:r>
      <w:r>
        <w:rPr>
          <w:rFonts w:ascii="ˎ̥" w:hAnsi="ˎ̥" w:cs="Helvetica"/>
          <w:color w:val="333333"/>
          <w:lang/>
        </w:rPr>
        <w:br/>
        <w:t>        1.</w:t>
      </w:r>
      <w:r>
        <w:rPr>
          <w:rFonts w:ascii="ˎ̥" w:hAnsi="ˎ̥" w:cs="Helvetica"/>
          <w:color w:val="333333"/>
          <w:lang/>
        </w:rPr>
        <w:t xml:space="preserve">　引导企业上规模、上水平。引导我市服务业非法人单位转制为企业法人，督导我市限额以</w:t>
      </w:r>
      <w:r>
        <w:rPr>
          <w:rFonts w:ascii="ˎ̥" w:hAnsi="ˎ̥" w:cs="Helvetica"/>
          <w:color w:val="333333"/>
          <w:lang/>
        </w:rPr>
        <w:t xml:space="preserve"> </w:t>
      </w:r>
      <w:r>
        <w:rPr>
          <w:rFonts w:ascii="ˎ̥" w:hAnsi="ˎ̥" w:cs="Helvetica"/>
          <w:color w:val="333333"/>
          <w:lang/>
        </w:rPr>
        <w:t>下服务业企业上规模、上水平。从</w:t>
      </w:r>
      <w:r>
        <w:rPr>
          <w:rFonts w:ascii="ˎ̥" w:hAnsi="ˎ̥" w:cs="Helvetica"/>
          <w:color w:val="333333"/>
          <w:lang/>
        </w:rPr>
        <w:t>2016</w:t>
      </w:r>
      <w:r>
        <w:rPr>
          <w:rFonts w:ascii="ˎ̥" w:hAnsi="ˎ̥" w:cs="Helvetica"/>
          <w:color w:val="333333"/>
          <w:lang/>
        </w:rPr>
        <w:t>年起，每年对申报并纳入全市规模以上企业统计单位名录库的服务业企业（房地产业除外），给予一次性的资金补助。（牵头单位：市发展改革局，责任单位：市经济和信息化局、财政局、统计局）</w:t>
      </w:r>
      <w:r>
        <w:rPr>
          <w:rFonts w:ascii="ˎ̥" w:hAnsi="ˎ̥" w:cs="Helvetica"/>
          <w:color w:val="333333"/>
          <w:lang/>
        </w:rPr>
        <w:br/>
        <w:t>        2.</w:t>
      </w:r>
      <w:r>
        <w:rPr>
          <w:rFonts w:ascii="ˎ̥" w:hAnsi="ˎ̥" w:cs="Helvetica"/>
          <w:color w:val="333333"/>
          <w:lang/>
        </w:rPr>
        <w:t xml:space="preserve">　打造一批龙头企业。在现代服务业重点领域培育主业突出、成长性好、竞争力强的现代服务业企业做大做强，打造一批龙头企业。深化国有企业改革，培育一批具有</w:t>
      </w:r>
      <w:r>
        <w:rPr>
          <w:rFonts w:ascii="ˎ̥" w:hAnsi="ˎ̥" w:cs="Helvetica"/>
          <w:color w:val="333333"/>
          <w:lang/>
        </w:rPr>
        <w:t>示范带动作用的现代服务业国有企业集团。深入实施</w:t>
      </w:r>
      <w:r>
        <w:rPr>
          <w:rFonts w:ascii="ˎ̥" w:hAnsi="ˎ̥" w:cs="Helvetica"/>
          <w:color w:val="333333"/>
          <w:lang/>
        </w:rPr>
        <w:t>“</w:t>
      </w:r>
      <w:r>
        <w:rPr>
          <w:rFonts w:ascii="ˎ̥" w:hAnsi="ˎ̥" w:cs="Helvetica"/>
          <w:color w:val="333333"/>
          <w:lang/>
        </w:rPr>
        <w:t>企业成长计划</w:t>
      </w:r>
      <w:r>
        <w:rPr>
          <w:rFonts w:ascii="ˎ̥" w:hAnsi="ˎ̥" w:cs="Helvetica"/>
          <w:color w:val="333333"/>
          <w:lang/>
        </w:rPr>
        <w:t>”</w:t>
      </w:r>
      <w:r>
        <w:rPr>
          <w:rFonts w:ascii="ˎ̥" w:hAnsi="ˎ̥" w:cs="Helvetica"/>
          <w:color w:val="333333"/>
          <w:lang/>
        </w:rPr>
        <w:t>，将培育服务业企业纳入培育大型骨干企业和</w:t>
      </w:r>
      <w:r>
        <w:rPr>
          <w:rFonts w:ascii="ˎ̥" w:hAnsi="ˎ̥" w:cs="Helvetica"/>
          <w:color w:val="333333"/>
          <w:lang/>
        </w:rPr>
        <w:t>“</w:t>
      </w:r>
      <w:r>
        <w:rPr>
          <w:rFonts w:ascii="ˎ̥" w:hAnsi="ˎ̥" w:cs="Helvetica"/>
          <w:color w:val="333333"/>
          <w:lang/>
        </w:rPr>
        <w:t>三高</w:t>
      </w:r>
      <w:r>
        <w:rPr>
          <w:rFonts w:ascii="ˎ̥" w:hAnsi="ˎ̥" w:cs="Helvetica"/>
          <w:color w:val="333333"/>
          <w:lang/>
        </w:rPr>
        <w:t>”</w:t>
      </w:r>
      <w:r>
        <w:rPr>
          <w:rFonts w:ascii="ˎ̥" w:hAnsi="ˎ̥" w:cs="Helvetica"/>
          <w:color w:val="333333"/>
          <w:lang/>
        </w:rPr>
        <w:t>中小企业范围。每年对已纳入全市规模以上服务业企业统计单位名录库的企业（房地产业除外），分不同的行业类别，对上年度营业收入排名靠前的，结合企业盈利与否、信用记录等情况，给予一定的资金补助。（牵头单位：市发展改革局，责任单位：市经济和信息化局、国资委、财政局、统计局）</w:t>
      </w:r>
      <w:r>
        <w:rPr>
          <w:rFonts w:ascii="ˎ̥" w:hAnsi="ˎ̥" w:cs="Helvetica"/>
          <w:color w:val="333333"/>
          <w:lang/>
        </w:rPr>
        <w:br/>
        <w:t>        3.</w:t>
      </w:r>
      <w:r>
        <w:rPr>
          <w:rFonts w:ascii="ˎ̥" w:hAnsi="ˎ̥" w:cs="Helvetica"/>
          <w:color w:val="333333"/>
          <w:lang/>
        </w:rPr>
        <w:t xml:space="preserve">　培育引进重大项目。科学谋划现代服务业重大项目，每年培育、引进一批服务业重大项目，建立跟踪服务机制和市、县（区）联动</w:t>
      </w:r>
      <w:r>
        <w:rPr>
          <w:rFonts w:ascii="ˎ̥" w:hAnsi="ˎ̥" w:cs="Helvetica"/>
          <w:color w:val="333333"/>
          <w:lang/>
        </w:rPr>
        <w:t>推进机制，协调解决项目实施过程中出现的困难和问题，并在资源配置、资金扶持与奖励方面给予重点支持。每年对符合产业政策、已纳入国家统计局联网直报的服务业固定资产投资项目（房地产业除外），项目总投资额且上年度实际完成投资额较大、对促进全市固定资产投资快速增长具有明显带动作用的项目，给予一定的资金补助。（牵头单位：市发展改革局，责任单位：市财政局、统计局）</w:t>
      </w:r>
      <w:r>
        <w:rPr>
          <w:rFonts w:ascii="ˎ̥" w:hAnsi="ˎ̥" w:cs="Helvetica"/>
          <w:color w:val="333333"/>
          <w:lang/>
        </w:rPr>
        <w:br/>
        <w:t xml:space="preserve">        </w:t>
      </w:r>
      <w:r>
        <w:rPr>
          <w:rFonts w:ascii="ˎ̥" w:hAnsi="ˎ̥" w:cs="Helvetica"/>
          <w:color w:val="333333"/>
          <w:lang/>
        </w:rPr>
        <w:t>（十二）研究设立市现代服务业股权投资基金。市财政安排部分资金，吸纳社会资本按市场化方式共同发起设立市现代服务业股权投资基金，并委托专业基金管理公</w:t>
      </w:r>
      <w:r>
        <w:rPr>
          <w:rFonts w:ascii="ˎ̥" w:hAnsi="ˎ̥" w:cs="Helvetica"/>
          <w:color w:val="333333"/>
          <w:lang/>
        </w:rPr>
        <w:t>司进行管理，支持对我市现代服务业的股权投资。股权投资基金主要投资于初创期、早中期、成长期的现代服务业企业和项目。具体办法另行制定并报市政府审定。（牵头单位：市财政局，责任单位：市发展改革局、金融工作局）</w:t>
      </w:r>
      <w:r>
        <w:rPr>
          <w:rFonts w:ascii="ˎ̥" w:hAnsi="ˎ̥" w:cs="Helvetica"/>
          <w:color w:val="333333"/>
          <w:lang/>
        </w:rPr>
        <w:br/>
        <w:t>        </w:t>
      </w:r>
      <w:r>
        <w:rPr>
          <w:rFonts w:ascii="ˎ̥" w:hAnsi="ˎ̥" w:cs="Helvetica"/>
          <w:color w:val="333333"/>
          <w:lang/>
        </w:rPr>
        <w:t>五、深入推进改革创新</w:t>
      </w:r>
      <w:r>
        <w:rPr>
          <w:rFonts w:ascii="ˎ̥" w:hAnsi="ˎ̥" w:cs="Helvetica"/>
          <w:color w:val="333333"/>
          <w:lang/>
        </w:rPr>
        <w:br/>
        <w:t xml:space="preserve">        </w:t>
      </w:r>
      <w:r>
        <w:rPr>
          <w:rFonts w:ascii="ˎ̥" w:hAnsi="ˎ̥" w:cs="Helvetica"/>
          <w:color w:val="333333"/>
          <w:lang/>
        </w:rPr>
        <w:t>（十三）全面深化政务改革。深入推进</w:t>
      </w:r>
      <w:r>
        <w:rPr>
          <w:rFonts w:ascii="ˎ̥" w:hAnsi="ˎ̥" w:cs="Helvetica"/>
          <w:color w:val="333333"/>
          <w:lang/>
        </w:rPr>
        <w:t>“</w:t>
      </w:r>
      <w:r>
        <w:rPr>
          <w:rFonts w:ascii="ˎ̥" w:hAnsi="ˎ̥" w:cs="Helvetica"/>
          <w:color w:val="333333"/>
          <w:lang/>
        </w:rPr>
        <w:t>互联网＋政务服务</w:t>
      </w:r>
      <w:r>
        <w:rPr>
          <w:rFonts w:ascii="ˎ̥" w:hAnsi="ˎ̥" w:cs="Helvetica"/>
          <w:color w:val="333333"/>
          <w:lang/>
        </w:rPr>
        <w:t>”</w:t>
      </w:r>
      <w:r>
        <w:rPr>
          <w:rFonts w:ascii="ˎ̥" w:hAnsi="ˎ̥" w:cs="Helvetica"/>
          <w:color w:val="333333"/>
          <w:lang/>
        </w:rPr>
        <w:t>改革，创新政府管理和服务模式，坚持服务便民利民、办事依法依规、信息公开透明、数据开放共享的原则，整合部门分设的办事窗口和审批服务系统，建立市、县、镇、村四级服务平台。深化</w:t>
      </w:r>
      <w:r>
        <w:rPr>
          <w:rFonts w:ascii="ˎ̥" w:hAnsi="ˎ̥" w:cs="Helvetica"/>
          <w:color w:val="333333"/>
          <w:lang/>
        </w:rPr>
        <w:t>“</w:t>
      </w:r>
      <w:r>
        <w:rPr>
          <w:rFonts w:ascii="ˎ̥" w:hAnsi="ˎ̥" w:cs="Helvetica"/>
          <w:color w:val="333333"/>
          <w:lang/>
        </w:rPr>
        <w:t>一门式</w:t>
      </w:r>
      <w:r>
        <w:rPr>
          <w:rFonts w:ascii="ˎ̥" w:hAnsi="ˎ̥" w:cs="Helvetica"/>
          <w:color w:val="333333"/>
          <w:lang/>
        </w:rPr>
        <w:t>”</w:t>
      </w:r>
      <w:r>
        <w:rPr>
          <w:rFonts w:ascii="ˎ̥" w:hAnsi="ˎ̥" w:cs="Helvetica"/>
          <w:color w:val="333333"/>
          <w:lang/>
        </w:rPr>
        <w:t>、</w:t>
      </w:r>
      <w:r>
        <w:rPr>
          <w:rFonts w:ascii="ˎ̥" w:hAnsi="ˎ̥" w:cs="Helvetica"/>
          <w:color w:val="333333"/>
          <w:lang/>
        </w:rPr>
        <w:t>“</w:t>
      </w:r>
      <w:r>
        <w:rPr>
          <w:rFonts w:ascii="ˎ̥" w:hAnsi="ˎ̥" w:cs="Helvetica"/>
          <w:color w:val="333333"/>
          <w:lang/>
        </w:rPr>
        <w:t>一网式</w:t>
      </w:r>
      <w:r>
        <w:rPr>
          <w:rFonts w:ascii="ˎ̥" w:hAnsi="ˎ̥" w:cs="Helvetica"/>
          <w:color w:val="333333"/>
          <w:lang/>
        </w:rPr>
        <w:t>”</w:t>
      </w:r>
      <w:r>
        <w:rPr>
          <w:rFonts w:ascii="ˎ̥" w:hAnsi="ˎ̥" w:cs="Helvetica"/>
          <w:color w:val="333333"/>
          <w:lang/>
        </w:rPr>
        <w:t>政府服务</w:t>
      </w:r>
      <w:r>
        <w:rPr>
          <w:rFonts w:ascii="ˎ̥" w:hAnsi="ˎ̥" w:cs="Helvetica"/>
          <w:color w:val="333333"/>
          <w:lang/>
        </w:rPr>
        <w:t>模式改革，建立互联互通、高效运转的统一政务服务平台，为企业和群众提供</w:t>
      </w:r>
      <w:r>
        <w:rPr>
          <w:rFonts w:ascii="ˎ̥" w:hAnsi="ˎ̥" w:cs="Helvetica"/>
          <w:color w:val="333333"/>
          <w:lang/>
        </w:rPr>
        <w:t>“</w:t>
      </w:r>
      <w:r>
        <w:rPr>
          <w:rFonts w:ascii="ˎ̥" w:hAnsi="ˎ̥" w:cs="Helvetica"/>
          <w:color w:val="333333"/>
          <w:lang/>
        </w:rPr>
        <w:t>一站式、全天候、零距离</w:t>
      </w:r>
      <w:r>
        <w:rPr>
          <w:rFonts w:ascii="ˎ̥" w:hAnsi="ˎ̥" w:cs="Helvetica"/>
          <w:color w:val="333333"/>
          <w:lang/>
        </w:rPr>
        <w:t>”</w:t>
      </w:r>
      <w:r>
        <w:rPr>
          <w:rFonts w:ascii="ˎ̥" w:hAnsi="ˎ̥" w:cs="Helvetica"/>
          <w:color w:val="333333"/>
          <w:lang/>
        </w:rPr>
        <w:t>的网上政务服务，真正实现一个门、一张网办事。（牵头单位：市编办，责任单位：市发展改革局、经济和信息化局、行政服务中心，各县、区政府，大亚湾开发区、仲恺高新区管委会）</w:t>
      </w:r>
      <w:r>
        <w:rPr>
          <w:rFonts w:ascii="ˎ̥" w:hAnsi="ˎ̥" w:cs="Helvetica"/>
          <w:color w:val="333333"/>
          <w:lang/>
        </w:rPr>
        <w:br/>
        <w:t>        </w:t>
      </w:r>
      <w:r>
        <w:rPr>
          <w:rFonts w:ascii="ˎ̥" w:hAnsi="ˎ̥" w:cs="Helvetica"/>
          <w:color w:val="333333"/>
          <w:lang/>
        </w:rPr>
        <w:t>（十四）深化商事制度改革。深入推进公司注册资本登记改革，降低准入门槛。落实先照后证改革，严格执行工商登记前置审批和后置审批事项目录，简化审批流程。积极开展住所登记改革，降低住所登记门槛。在全面实施工商营业执照、组织机构代码证、税务登记证</w:t>
      </w:r>
      <w:r>
        <w:rPr>
          <w:rFonts w:ascii="ˎ̥" w:hAnsi="ˎ̥" w:cs="Helvetica"/>
          <w:color w:val="333333"/>
          <w:lang/>
        </w:rPr>
        <w:t>“</w:t>
      </w:r>
      <w:r>
        <w:rPr>
          <w:rFonts w:ascii="ˎ̥" w:hAnsi="ˎ̥" w:cs="Helvetica"/>
          <w:color w:val="333333"/>
          <w:lang/>
        </w:rPr>
        <w:t>三证合一</w:t>
      </w:r>
      <w:r>
        <w:rPr>
          <w:rFonts w:ascii="ˎ̥" w:hAnsi="ˎ̥" w:cs="Helvetica"/>
          <w:color w:val="333333"/>
          <w:lang/>
        </w:rPr>
        <w:t>”</w:t>
      </w:r>
      <w:r>
        <w:rPr>
          <w:rFonts w:ascii="ˎ̥" w:hAnsi="ˎ̥" w:cs="Helvetica"/>
          <w:color w:val="333333"/>
          <w:lang/>
        </w:rPr>
        <w:t>登记制度改革的基础上，再整合社会保险登记证和统计登记证，实现</w:t>
      </w:r>
      <w:r>
        <w:rPr>
          <w:rFonts w:ascii="ˎ̥" w:hAnsi="ˎ̥" w:cs="Helvetica"/>
          <w:color w:val="333333"/>
          <w:lang/>
        </w:rPr>
        <w:t>“</w:t>
      </w:r>
      <w:r>
        <w:rPr>
          <w:rFonts w:ascii="ˎ̥" w:hAnsi="ˎ̥" w:cs="Helvetica"/>
          <w:color w:val="333333"/>
          <w:lang/>
        </w:rPr>
        <w:t>五证合一、一照一码</w:t>
      </w:r>
      <w:r>
        <w:rPr>
          <w:rFonts w:ascii="ˎ̥" w:hAnsi="ˎ̥" w:cs="Helvetica"/>
          <w:color w:val="333333"/>
          <w:lang/>
        </w:rPr>
        <w:t>”</w:t>
      </w:r>
      <w:r>
        <w:rPr>
          <w:rFonts w:ascii="ˎ̥" w:hAnsi="ˎ̥" w:cs="Helvetica"/>
          <w:color w:val="333333"/>
          <w:lang/>
        </w:rPr>
        <w:t>。进一步优化服务流程，创新方式方法，提高登记服务效率，推进商事登记及相关审批标准化建设，实现工商登记注册便利化。（牵头单位：市工商局，责任单位：市人力资源和社会保障局、统计局）</w:t>
      </w:r>
      <w:r>
        <w:rPr>
          <w:rFonts w:ascii="ˎ̥" w:hAnsi="ˎ̥" w:cs="Helvetica"/>
          <w:color w:val="333333"/>
          <w:lang/>
        </w:rPr>
        <w:br/>
        <w:t xml:space="preserve">        </w:t>
      </w:r>
      <w:r>
        <w:rPr>
          <w:rFonts w:ascii="ˎ̥" w:hAnsi="ˎ̥" w:cs="Helvetica"/>
          <w:color w:val="333333"/>
          <w:lang/>
        </w:rPr>
        <w:t>（十五）深化投资体制改革。放宽现代服务业准入门槛，激发社会投资动力和活力，确立企业投资主体地位。鼓励政府和社会资本合作，通过特许经营、基金注资、投资补助、政府购买服务等方式，支持社会资本参与交通、环保、教育、医疗、养老、体育</w:t>
      </w:r>
      <w:r>
        <w:rPr>
          <w:rFonts w:ascii="ˎ̥" w:hAnsi="ˎ̥" w:cs="Helvetica"/>
          <w:color w:val="333333"/>
          <w:lang/>
        </w:rPr>
        <w:t>、旅游、文化等重点行业建设。加大政府投入力度，优化政府投资方向和结构，重点投向基本公共服务领域。探索实施投资项目审批制度系统集成式改革，促进快审速建。推动现有投资项目审批的范围、环节、时限系统集成式改革，打造系统集成式审批流程，实施系统集成式审查制度，切实提高投资项目审批服务效率。（牵头单位：市发展改革局，责任单位：市财政局、国土资源局、环保局、住房和城乡规划建设局、交通运输局、水务局）</w:t>
      </w:r>
      <w:r>
        <w:rPr>
          <w:rFonts w:ascii="ˎ̥" w:hAnsi="ˎ̥" w:cs="Helvetica"/>
          <w:color w:val="333333"/>
          <w:lang/>
        </w:rPr>
        <w:br/>
        <w:t>        </w:t>
      </w:r>
      <w:r>
        <w:rPr>
          <w:rFonts w:ascii="ˎ̥" w:hAnsi="ˎ̥" w:cs="Helvetica"/>
          <w:color w:val="333333"/>
          <w:lang/>
        </w:rPr>
        <w:t>（十六）改革完善价格政策。建立完善主要以市场决定价格的价格形成机制，加快资源性产品价格改革，健全经营者自</w:t>
      </w:r>
      <w:r>
        <w:rPr>
          <w:rFonts w:ascii="ˎ̥" w:hAnsi="ˎ̥" w:cs="Helvetica"/>
          <w:color w:val="333333"/>
          <w:lang/>
        </w:rPr>
        <w:t>主定价领域的市场规则。按照国家和省的部署，完善煤电价格联动机制，调整我市销售电价，推进大用户直接购电；完善天然气价格形成机制和管道燃气定价机制，降低油气使用成本。加快推进全市经营服务业用水与一般工业用水</w:t>
      </w:r>
      <w:r>
        <w:rPr>
          <w:rFonts w:ascii="ˎ̥" w:hAnsi="ˎ̥" w:cs="Helvetica"/>
          <w:color w:val="333333"/>
          <w:lang/>
        </w:rPr>
        <w:t>“</w:t>
      </w:r>
      <w:r>
        <w:rPr>
          <w:rFonts w:ascii="ˎ̥" w:hAnsi="ˎ̥" w:cs="Helvetica"/>
          <w:color w:val="333333"/>
          <w:lang/>
        </w:rPr>
        <w:t>同网同价</w:t>
      </w:r>
      <w:r>
        <w:rPr>
          <w:rFonts w:ascii="ˎ̥" w:hAnsi="ˎ̥" w:cs="Helvetica"/>
          <w:color w:val="333333"/>
          <w:lang/>
        </w:rPr>
        <w:t>”</w:t>
      </w:r>
      <w:r>
        <w:rPr>
          <w:rFonts w:ascii="ˎ̥" w:hAnsi="ˎ̥" w:cs="Helvetica"/>
          <w:color w:val="333333"/>
          <w:lang/>
        </w:rPr>
        <w:t>。推进重要交通价格改革，理顺医药价格，推进教育收费改革。（牵头单位：市发展改革局，责任单位：市经济和信息化局、水务局）</w:t>
      </w:r>
      <w:r>
        <w:rPr>
          <w:rFonts w:ascii="ˎ̥" w:hAnsi="ˎ̥" w:cs="Helvetica"/>
          <w:color w:val="333333"/>
          <w:lang/>
        </w:rPr>
        <w:br/>
        <w:t>        </w:t>
      </w:r>
      <w:r>
        <w:rPr>
          <w:rFonts w:ascii="ˎ̥" w:hAnsi="ˎ̥" w:cs="Helvetica"/>
          <w:color w:val="333333"/>
          <w:lang/>
        </w:rPr>
        <w:t>（十七）深化政府采购制度改革。逐步增加教育培训、研究咨询和法律事务等服务的政府采购，推进检验服务外包。将社会管理、公共服务、后勤服务等技术性劳务类事务纳入政府采购</w:t>
      </w:r>
      <w:r>
        <w:rPr>
          <w:rFonts w:ascii="ˎ̥" w:hAnsi="ˎ̥" w:cs="Helvetica"/>
          <w:color w:val="333333"/>
          <w:lang/>
        </w:rPr>
        <w:t>管理范围，提升服务类采购的比例，提高公共服务的效率和品质。（牵头单位：市财政局，责任单位：市发展改革局）</w:t>
      </w:r>
      <w:r>
        <w:rPr>
          <w:rFonts w:ascii="ˎ̥" w:hAnsi="ˎ̥" w:cs="Helvetica"/>
          <w:color w:val="333333"/>
          <w:lang/>
        </w:rPr>
        <w:br/>
        <w:t xml:space="preserve">        </w:t>
      </w:r>
      <w:r>
        <w:rPr>
          <w:rFonts w:ascii="ˎ̥" w:hAnsi="ˎ̥" w:cs="Helvetica"/>
          <w:color w:val="333333"/>
          <w:lang/>
        </w:rPr>
        <w:t>（十八）鼓励服务业科技创新。优先支持实施重大科技专项，力争突破一批关键领域核心技术。每年安排</w:t>
      </w:r>
      <w:r>
        <w:rPr>
          <w:rFonts w:ascii="ˎ̥" w:hAnsi="ˎ̥" w:cs="Helvetica"/>
          <w:color w:val="333333"/>
          <w:lang/>
        </w:rPr>
        <w:t>1000</w:t>
      </w:r>
      <w:r>
        <w:rPr>
          <w:rFonts w:ascii="ˎ̥" w:hAnsi="ˎ̥" w:cs="Helvetica"/>
          <w:color w:val="333333"/>
          <w:lang/>
        </w:rPr>
        <w:t>万元国际科技合作资金，用于购买国际科技服务，支持惠州优势企业建立境外研发机构和研发中心。加快新型研发机构建设，经认定后的新型研发机构，可按照不超过近</w:t>
      </w:r>
      <w:r>
        <w:rPr>
          <w:rFonts w:ascii="ˎ̥" w:hAnsi="ˎ̥" w:cs="Helvetica"/>
          <w:color w:val="333333"/>
          <w:lang/>
        </w:rPr>
        <w:t>3</w:t>
      </w:r>
      <w:r>
        <w:rPr>
          <w:rFonts w:ascii="ˎ̥" w:hAnsi="ˎ̥" w:cs="Helvetica"/>
          <w:color w:val="333333"/>
          <w:lang/>
        </w:rPr>
        <w:t>年投入科研仪器、设备和软件购置经费</w:t>
      </w:r>
      <w:r>
        <w:rPr>
          <w:rFonts w:ascii="ˎ̥" w:hAnsi="ˎ̥" w:cs="Helvetica"/>
          <w:color w:val="333333"/>
          <w:lang/>
        </w:rPr>
        <w:t>25</w:t>
      </w:r>
      <w:r>
        <w:rPr>
          <w:rFonts w:ascii="ˎ̥" w:hAnsi="ˎ̥" w:cs="Helvetica"/>
          <w:color w:val="333333"/>
          <w:lang/>
        </w:rPr>
        <w:t>％的比例，一次性给予最高</w:t>
      </w:r>
      <w:r>
        <w:rPr>
          <w:rFonts w:ascii="ˎ̥" w:hAnsi="ˎ̥" w:cs="Helvetica"/>
          <w:color w:val="333333"/>
          <w:lang/>
        </w:rPr>
        <w:t>500</w:t>
      </w:r>
      <w:r>
        <w:rPr>
          <w:rFonts w:ascii="ˎ̥" w:hAnsi="ˎ̥" w:cs="Helvetica"/>
          <w:color w:val="333333"/>
          <w:lang/>
        </w:rPr>
        <w:t>万元的扶持。加快构建科技孵化体系，凡认定为国家级、省级（国家级培育单位）</w:t>
      </w:r>
      <w:r>
        <w:rPr>
          <w:rFonts w:ascii="ˎ̥" w:hAnsi="ˎ̥" w:cs="Helvetica"/>
          <w:color w:val="333333"/>
          <w:lang/>
        </w:rPr>
        <w:t>、市级科技企业孵化器和市级孵化器培育单位的，分别给予一次性</w:t>
      </w:r>
      <w:r>
        <w:rPr>
          <w:rFonts w:ascii="ˎ̥" w:hAnsi="ˎ̥" w:cs="Helvetica"/>
          <w:color w:val="333333"/>
          <w:lang/>
        </w:rPr>
        <w:t>100</w:t>
      </w:r>
      <w:r>
        <w:rPr>
          <w:rFonts w:ascii="ˎ̥" w:hAnsi="ˎ̥" w:cs="Helvetica"/>
          <w:color w:val="333333"/>
          <w:lang/>
        </w:rPr>
        <w:t>万元、</w:t>
      </w:r>
      <w:r>
        <w:rPr>
          <w:rFonts w:ascii="ˎ̥" w:hAnsi="ˎ̥" w:cs="Helvetica"/>
          <w:color w:val="333333"/>
          <w:lang/>
        </w:rPr>
        <w:t>60</w:t>
      </w:r>
      <w:r>
        <w:rPr>
          <w:rFonts w:ascii="ˎ̥" w:hAnsi="ˎ̥" w:cs="Helvetica"/>
          <w:color w:val="333333"/>
          <w:lang/>
        </w:rPr>
        <w:t>万元、</w:t>
      </w:r>
      <w:r>
        <w:rPr>
          <w:rFonts w:ascii="ˎ̥" w:hAnsi="ˎ̥" w:cs="Helvetica"/>
          <w:color w:val="333333"/>
          <w:lang/>
        </w:rPr>
        <w:t>50</w:t>
      </w:r>
      <w:r>
        <w:rPr>
          <w:rFonts w:ascii="ˎ̥" w:hAnsi="ˎ̥" w:cs="Helvetica"/>
          <w:color w:val="333333"/>
          <w:lang/>
        </w:rPr>
        <w:t>万元和</w:t>
      </w:r>
      <w:r>
        <w:rPr>
          <w:rFonts w:ascii="ˎ̥" w:hAnsi="ˎ̥" w:cs="Helvetica"/>
          <w:color w:val="333333"/>
          <w:lang/>
        </w:rPr>
        <w:t>30</w:t>
      </w:r>
      <w:r>
        <w:rPr>
          <w:rFonts w:ascii="ˎ̥" w:hAnsi="ˎ̥" w:cs="Helvetica"/>
          <w:color w:val="333333"/>
          <w:lang/>
        </w:rPr>
        <w:t>万元的奖励。对评为国家工程技术中心的，给予</w:t>
      </w:r>
      <w:r>
        <w:rPr>
          <w:rFonts w:ascii="ˎ̥" w:hAnsi="ˎ̥" w:cs="Helvetica"/>
          <w:color w:val="333333"/>
          <w:lang/>
        </w:rPr>
        <w:t>100</w:t>
      </w:r>
      <w:r>
        <w:rPr>
          <w:rFonts w:ascii="ˎ̥" w:hAnsi="ˎ̥" w:cs="Helvetica"/>
          <w:color w:val="333333"/>
          <w:lang/>
        </w:rPr>
        <w:t>万元补助。对获得国家级、省级工业设计中心的企业，分别给予</w:t>
      </w:r>
      <w:r>
        <w:rPr>
          <w:rFonts w:ascii="ˎ̥" w:hAnsi="ˎ̥" w:cs="Helvetica"/>
          <w:color w:val="333333"/>
          <w:lang/>
        </w:rPr>
        <w:t>100</w:t>
      </w:r>
      <w:r>
        <w:rPr>
          <w:rFonts w:ascii="ˎ̥" w:hAnsi="ˎ̥" w:cs="Helvetica"/>
          <w:color w:val="333333"/>
          <w:lang/>
        </w:rPr>
        <w:t>万元、</w:t>
      </w:r>
      <w:r>
        <w:rPr>
          <w:rFonts w:ascii="ˎ̥" w:hAnsi="ˎ̥" w:cs="Helvetica"/>
          <w:color w:val="333333"/>
          <w:lang/>
        </w:rPr>
        <w:t>50</w:t>
      </w:r>
      <w:r>
        <w:rPr>
          <w:rFonts w:ascii="ˎ̥" w:hAnsi="ˎ̥" w:cs="Helvetica"/>
          <w:color w:val="333333"/>
          <w:lang/>
        </w:rPr>
        <w:t>万元的奖励。（牵头单位：市科技局，责任单位：市财政局、市经济和信息化局、发展改革局）</w:t>
      </w:r>
      <w:r>
        <w:rPr>
          <w:rFonts w:ascii="ˎ̥" w:hAnsi="ˎ̥" w:cs="Helvetica"/>
          <w:color w:val="333333"/>
          <w:lang/>
        </w:rPr>
        <w:br/>
        <w:t>        </w:t>
      </w:r>
      <w:r>
        <w:rPr>
          <w:rFonts w:ascii="ˎ̥" w:hAnsi="ˎ̥" w:cs="Helvetica"/>
          <w:color w:val="333333"/>
          <w:lang/>
        </w:rPr>
        <w:t>（十九）鼓励业态和商业模式创新。积极推进理念创新、技术创新、管理创新、业态创新和模式创新，加快培育服务业新业态、新领域。营造有利于新技术、新产品开发和推广应用的外部条件，鼓励企业通过</w:t>
      </w:r>
      <w:r>
        <w:rPr>
          <w:rFonts w:ascii="ˎ̥" w:hAnsi="ˎ̥" w:cs="Helvetica"/>
          <w:color w:val="333333"/>
          <w:lang/>
        </w:rPr>
        <w:t>“</w:t>
      </w:r>
      <w:r>
        <w:rPr>
          <w:rFonts w:ascii="ˎ̥" w:hAnsi="ˎ̥" w:cs="Helvetica"/>
          <w:color w:val="333333"/>
          <w:lang/>
        </w:rPr>
        <w:t>互联网＋</w:t>
      </w:r>
      <w:r>
        <w:rPr>
          <w:rFonts w:ascii="ˎ̥" w:hAnsi="ˎ̥" w:cs="Helvetica"/>
          <w:color w:val="333333"/>
          <w:lang/>
        </w:rPr>
        <w:t>”</w:t>
      </w:r>
      <w:r>
        <w:rPr>
          <w:rFonts w:ascii="ˎ̥" w:hAnsi="ˎ̥" w:cs="Helvetica"/>
          <w:color w:val="333333"/>
          <w:lang/>
        </w:rPr>
        <w:t>、</w:t>
      </w:r>
      <w:r>
        <w:rPr>
          <w:rFonts w:ascii="ˎ̥" w:hAnsi="ˎ̥" w:cs="Helvetica"/>
          <w:color w:val="333333"/>
          <w:lang/>
        </w:rPr>
        <w:t>技术创新、产业融合、产业链整合、区域分工及企业组织方式变革等推动形成新的经营业态或商业模式，增强服务业新兴业态的内生发展动力。鼓励支持研发设计、检验检测认证、节能环保、新一代信息技术等科技型、创新型服务业企业申请认定为高新技术企业。对新认定的国家级、省级创新型企业，分别给予一次性</w:t>
      </w:r>
      <w:r>
        <w:rPr>
          <w:rFonts w:ascii="ˎ̥" w:hAnsi="ˎ̥" w:cs="Helvetica"/>
          <w:color w:val="333333"/>
          <w:lang/>
        </w:rPr>
        <w:t>30</w:t>
      </w:r>
      <w:r>
        <w:rPr>
          <w:rFonts w:ascii="ˎ̥" w:hAnsi="ˎ̥" w:cs="Helvetica"/>
          <w:color w:val="333333"/>
          <w:lang/>
        </w:rPr>
        <w:t>万元、</w:t>
      </w:r>
      <w:r>
        <w:rPr>
          <w:rFonts w:ascii="ˎ̥" w:hAnsi="ˎ̥" w:cs="Helvetica"/>
          <w:color w:val="333333"/>
          <w:lang/>
        </w:rPr>
        <w:t>10</w:t>
      </w:r>
      <w:r>
        <w:rPr>
          <w:rFonts w:ascii="ˎ̥" w:hAnsi="ˎ̥" w:cs="Helvetica"/>
          <w:color w:val="333333"/>
          <w:lang/>
        </w:rPr>
        <w:t>万元的补助。对新认定的高新技术企业一次性给予</w:t>
      </w:r>
      <w:r>
        <w:rPr>
          <w:rFonts w:ascii="ˎ̥" w:hAnsi="ˎ̥" w:cs="Helvetica"/>
          <w:color w:val="333333"/>
          <w:lang/>
        </w:rPr>
        <w:t>10</w:t>
      </w:r>
      <w:r>
        <w:rPr>
          <w:rFonts w:ascii="ˎ̥" w:hAnsi="ˎ̥" w:cs="Helvetica"/>
          <w:color w:val="333333"/>
          <w:lang/>
        </w:rPr>
        <w:t>万元的资金补贴。（牵头单位：市商务局，责任单位：市科技局、经济和信息化局、金融工作局、文化广电新闻出版局、质监局、发展改革局）</w:t>
      </w:r>
      <w:r>
        <w:rPr>
          <w:rFonts w:ascii="ˎ̥" w:hAnsi="ˎ̥" w:cs="Helvetica"/>
          <w:color w:val="333333"/>
          <w:lang/>
        </w:rPr>
        <w:br/>
        <w:t xml:space="preserve">        </w:t>
      </w:r>
      <w:r>
        <w:rPr>
          <w:rFonts w:ascii="ˎ̥" w:hAnsi="ˎ̥" w:cs="Helvetica"/>
          <w:color w:val="333333"/>
          <w:lang/>
        </w:rPr>
        <w:t>（二十）鼓励品牌和标准化创</w:t>
      </w:r>
      <w:r>
        <w:rPr>
          <w:rFonts w:ascii="ˎ̥" w:hAnsi="ˎ̥" w:cs="Helvetica"/>
          <w:color w:val="333333"/>
          <w:lang/>
        </w:rPr>
        <w:t>新。加强服务业标准化建设，以服务标准、服务业示范区建设为纽带推进服务业品牌建设。在交通运输、现代物流、高技术服务、信息、金融等重点服务业领域，建立健全服务质量测评体系和客户满意评价制度，推进服务业满意度评价试点。鼓励支持服务业企业参与国际标准、国家标准、行业标准的制（修）订，参与现代服务业标准和现代服务业标准化示范区建设，对主导制定一项国际标准、国家标准和行业标准的，分别资助不超过</w:t>
      </w:r>
      <w:r>
        <w:rPr>
          <w:rFonts w:ascii="ˎ̥" w:hAnsi="ˎ̥" w:cs="Helvetica"/>
          <w:color w:val="333333"/>
          <w:lang/>
        </w:rPr>
        <w:t>50</w:t>
      </w:r>
      <w:r>
        <w:rPr>
          <w:rFonts w:ascii="ˎ̥" w:hAnsi="ˎ̥" w:cs="Helvetica"/>
          <w:color w:val="333333"/>
          <w:lang/>
        </w:rPr>
        <w:t>万元、</w:t>
      </w:r>
      <w:r>
        <w:rPr>
          <w:rFonts w:ascii="ˎ̥" w:hAnsi="ˎ̥" w:cs="Helvetica"/>
          <w:color w:val="333333"/>
          <w:lang/>
        </w:rPr>
        <w:t>30</w:t>
      </w:r>
      <w:r>
        <w:rPr>
          <w:rFonts w:ascii="ˎ̥" w:hAnsi="ˎ̥" w:cs="Helvetica"/>
          <w:color w:val="333333"/>
          <w:lang/>
        </w:rPr>
        <w:t>万元和</w:t>
      </w:r>
      <w:r>
        <w:rPr>
          <w:rFonts w:ascii="ˎ̥" w:hAnsi="ˎ̥" w:cs="Helvetica"/>
          <w:color w:val="333333"/>
          <w:lang/>
        </w:rPr>
        <w:t>20</w:t>
      </w:r>
      <w:r>
        <w:rPr>
          <w:rFonts w:ascii="ˎ̥" w:hAnsi="ˎ̥" w:cs="Helvetica"/>
          <w:color w:val="333333"/>
          <w:lang/>
        </w:rPr>
        <w:t>万元；对承担国家级或省级服务业标准化示范区建设的单位，一次性资助不超过</w:t>
      </w:r>
      <w:r>
        <w:rPr>
          <w:rFonts w:ascii="ˎ̥" w:hAnsi="ˎ̥" w:cs="Helvetica"/>
          <w:color w:val="333333"/>
          <w:lang/>
        </w:rPr>
        <w:t>10</w:t>
      </w:r>
      <w:r>
        <w:rPr>
          <w:rFonts w:ascii="ˎ̥" w:hAnsi="ˎ̥" w:cs="Helvetica"/>
          <w:color w:val="333333"/>
          <w:lang/>
        </w:rPr>
        <w:t>万元。鼓励大型专业市场、线上平</w:t>
      </w:r>
      <w:r>
        <w:rPr>
          <w:rFonts w:ascii="ˎ̥" w:hAnsi="ˎ̥" w:cs="Helvetica"/>
          <w:color w:val="333333"/>
          <w:lang/>
        </w:rPr>
        <w:t>台等进行整体品牌包装和市场推广。引导大型商场、专业市场等服务业集聚区和线上平台成立统一的结算中心，对各分散商户资金、货物、税费等实行统一结算、统一管理，进行整体品牌包装和市场推广，塑造品牌、提升档次。（牵头单位：市质监局，责任单位：市商务局、经济和信息化局、财政局、交通运输局、旅游局、工商局）</w:t>
      </w:r>
      <w:r>
        <w:rPr>
          <w:rFonts w:ascii="ˎ̥" w:hAnsi="ˎ̥" w:cs="Helvetica"/>
          <w:color w:val="333333"/>
          <w:lang/>
        </w:rPr>
        <w:br/>
        <w:t>        </w:t>
      </w:r>
      <w:r>
        <w:rPr>
          <w:rFonts w:ascii="ˎ̥" w:hAnsi="ˎ̥" w:cs="Helvetica"/>
          <w:color w:val="333333"/>
          <w:lang/>
        </w:rPr>
        <w:t>（二十一）激发大众创新热情。重奖在创新创业有突出贡献的人才，发展</w:t>
      </w:r>
      <w:r>
        <w:rPr>
          <w:rFonts w:ascii="ˎ̥" w:hAnsi="ˎ̥" w:cs="Helvetica"/>
          <w:color w:val="333333"/>
          <w:lang/>
        </w:rPr>
        <w:t>“</w:t>
      </w:r>
      <w:r>
        <w:rPr>
          <w:rFonts w:ascii="ˎ̥" w:hAnsi="ˎ̥" w:cs="Helvetica"/>
          <w:color w:val="333333"/>
          <w:lang/>
        </w:rPr>
        <w:t>创客</w:t>
      </w:r>
      <w:r>
        <w:rPr>
          <w:rFonts w:ascii="ˎ̥" w:hAnsi="ˎ̥" w:cs="Helvetica"/>
          <w:color w:val="333333"/>
          <w:lang/>
        </w:rPr>
        <w:t>”“</w:t>
      </w:r>
      <w:r>
        <w:rPr>
          <w:rFonts w:ascii="ˎ̥" w:hAnsi="ˎ̥" w:cs="Helvetica"/>
          <w:color w:val="333333"/>
          <w:lang/>
        </w:rPr>
        <w:t>创业</w:t>
      </w:r>
      <w:r>
        <w:rPr>
          <w:rFonts w:ascii="ˎ̥" w:hAnsi="ˎ̥" w:cs="Helvetica"/>
          <w:color w:val="333333"/>
          <w:lang/>
        </w:rPr>
        <w:t>”</w:t>
      </w:r>
      <w:r>
        <w:rPr>
          <w:rFonts w:ascii="ˎ̥" w:hAnsi="ˎ̥" w:cs="Helvetica"/>
          <w:color w:val="333333"/>
          <w:lang/>
        </w:rPr>
        <w:t>模式，建立</w:t>
      </w:r>
      <w:r>
        <w:rPr>
          <w:rFonts w:ascii="ˎ̥" w:hAnsi="ˎ̥" w:cs="Helvetica"/>
          <w:color w:val="333333"/>
          <w:lang/>
        </w:rPr>
        <w:t>“</w:t>
      </w:r>
      <w:r>
        <w:rPr>
          <w:rFonts w:ascii="ˎ̥" w:hAnsi="ˎ̥" w:cs="Helvetica"/>
          <w:color w:val="333333"/>
          <w:lang/>
        </w:rPr>
        <w:t>众创空间</w:t>
      </w:r>
      <w:r>
        <w:rPr>
          <w:rFonts w:ascii="ˎ̥" w:hAnsi="ˎ̥" w:cs="Helvetica"/>
          <w:color w:val="333333"/>
          <w:lang/>
        </w:rPr>
        <w:t>”</w:t>
      </w:r>
      <w:r>
        <w:rPr>
          <w:rFonts w:ascii="ˎ̥" w:hAnsi="ˎ̥" w:cs="Helvetica"/>
          <w:color w:val="333333"/>
          <w:lang/>
        </w:rPr>
        <w:t>。市财政对</w:t>
      </w:r>
      <w:r>
        <w:rPr>
          <w:rFonts w:ascii="ˎ̥" w:hAnsi="ˎ̥" w:cs="Helvetica"/>
          <w:color w:val="333333"/>
          <w:lang/>
        </w:rPr>
        <w:t>“</w:t>
      </w:r>
      <w:r>
        <w:rPr>
          <w:rFonts w:ascii="ˎ̥" w:hAnsi="ˎ̥" w:cs="Helvetica"/>
          <w:color w:val="333333"/>
          <w:lang/>
        </w:rPr>
        <w:t>众创空间</w:t>
      </w:r>
      <w:r>
        <w:rPr>
          <w:rFonts w:ascii="ˎ̥" w:hAnsi="ˎ̥" w:cs="Helvetica"/>
          <w:color w:val="333333"/>
          <w:lang/>
        </w:rPr>
        <w:t>”</w:t>
      </w:r>
      <w:r>
        <w:rPr>
          <w:rFonts w:ascii="ˎ̥" w:hAnsi="ˎ̥" w:cs="Helvetica"/>
          <w:color w:val="333333"/>
          <w:lang/>
        </w:rPr>
        <w:t>举办各类活动给予经费扶持。举办创新创业大赛、人才论坛、人才项目路演等活动，搭</w:t>
      </w:r>
      <w:r>
        <w:rPr>
          <w:rFonts w:ascii="ˎ̥" w:hAnsi="ˎ̥" w:cs="Helvetica"/>
          <w:color w:val="333333"/>
          <w:lang/>
        </w:rPr>
        <w:t>建各类人才展示才华和创新创业项目落户平台。（牵头单位：市委组织部，责任单位：市科技局、人力资源和社会保障局、财政局）</w:t>
      </w:r>
      <w:r>
        <w:rPr>
          <w:rFonts w:ascii="ˎ̥" w:hAnsi="ˎ̥" w:cs="Helvetica"/>
          <w:color w:val="333333"/>
          <w:lang/>
        </w:rPr>
        <w:br/>
        <w:t xml:space="preserve">        </w:t>
      </w:r>
      <w:r>
        <w:rPr>
          <w:rFonts w:ascii="ˎ̥" w:hAnsi="ˎ̥" w:cs="Helvetica"/>
          <w:color w:val="333333"/>
          <w:lang/>
        </w:rPr>
        <w:t>六、完善保障支撑体系</w:t>
      </w:r>
      <w:r>
        <w:rPr>
          <w:rFonts w:ascii="ˎ̥" w:hAnsi="ˎ̥" w:cs="Helvetica"/>
          <w:color w:val="333333"/>
          <w:lang/>
        </w:rPr>
        <w:br/>
        <w:t>        </w:t>
      </w:r>
      <w:r>
        <w:rPr>
          <w:rFonts w:ascii="ˎ̥" w:hAnsi="ˎ̥" w:cs="Helvetica"/>
          <w:color w:val="333333"/>
          <w:lang/>
        </w:rPr>
        <w:t>（二十二）创新融资方式。鼓励金融机构创新抵押担保方式和信贷产品，扩大贷款抵（质）押范围，推进知识产权、收益权等抵（质）押业务，发展供应链融资。创新支付结算产品，提升支付结算服务。创新保险产品，积极开展政银保业务合作。积极争取政策性金融的支持，优先保障基础设施、重点项目、集聚区建设等方面的资金需求。鼓励企业发行外债，有效利用境外低成本资金，</w:t>
      </w:r>
      <w:r>
        <w:rPr>
          <w:rFonts w:ascii="ˎ̥" w:hAnsi="ˎ̥" w:cs="Helvetica"/>
          <w:color w:val="333333"/>
          <w:lang/>
        </w:rPr>
        <w:t>投向鼓励发展的重点行业和重大项目。完善信贷风险补偿和担保机制，充分发挥市级政策性担保机构和融资性担保机构的作用，市级风险补偿基金和担保机构重点向现代服务业项目倾斜。（牵头单位：人民银行惠州市中心支行，责任单位：惠州银监分局，市金融工作局、发展改革局、科技局、经济和信息化局）</w:t>
      </w:r>
      <w:r>
        <w:rPr>
          <w:rFonts w:ascii="ˎ̥" w:hAnsi="ˎ̥" w:cs="Helvetica"/>
          <w:color w:val="333333"/>
          <w:lang/>
        </w:rPr>
        <w:br/>
        <w:t xml:space="preserve">        </w:t>
      </w:r>
      <w:r>
        <w:rPr>
          <w:rFonts w:ascii="ˎ̥" w:hAnsi="ˎ̥" w:cs="Helvetica"/>
          <w:color w:val="333333"/>
          <w:lang/>
        </w:rPr>
        <w:t>（二十三）支持直接融资。推动符合条件的企业到主板、中小板、创业板上市，支持符合条件的企业在全国中小企业股份转让系统和区域股权市场挂牌交易，鼓励企业发行公司债券、企业债券、中期票据等进行融资。对利用以下方式融资的，按市的有</w:t>
      </w:r>
      <w:r>
        <w:rPr>
          <w:rFonts w:ascii="ˎ̥" w:hAnsi="ˎ̥" w:cs="Helvetica"/>
          <w:color w:val="333333"/>
          <w:lang/>
        </w:rPr>
        <w:t>关规定给予奖励：在我国资本市场成功上市融资的，给予最高</w:t>
      </w:r>
      <w:r>
        <w:rPr>
          <w:rFonts w:ascii="ˎ̥" w:hAnsi="ˎ̥" w:cs="Helvetica"/>
          <w:color w:val="333333"/>
          <w:lang/>
        </w:rPr>
        <w:t>400</w:t>
      </w:r>
      <w:r>
        <w:rPr>
          <w:rFonts w:ascii="ˎ̥" w:hAnsi="ˎ̥" w:cs="Helvetica"/>
          <w:color w:val="333333"/>
          <w:lang/>
        </w:rPr>
        <w:t>万元奖励；在全国中小企业股份转让系统和区域交易市场实现股权融资的，给予最高</w:t>
      </w:r>
      <w:r>
        <w:rPr>
          <w:rFonts w:ascii="ˎ̥" w:hAnsi="ˎ̥" w:cs="Helvetica"/>
          <w:color w:val="333333"/>
          <w:lang/>
        </w:rPr>
        <w:t>150</w:t>
      </w:r>
      <w:r>
        <w:rPr>
          <w:rFonts w:ascii="ˎ̥" w:hAnsi="ˎ̥" w:cs="Helvetica"/>
          <w:color w:val="333333"/>
          <w:lang/>
        </w:rPr>
        <w:t>万元奖励；成功转板到创业板、中小板、主板上市再给予奖励</w:t>
      </w:r>
      <w:r>
        <w:rPr>
          <w:rFonts w:ascii="ˎ̥" w:hAnsi="ˎ̥" w:cs="Helvetica"/>
          <w:color w:val="333333"/>
          <w:lang/>
        </w:rPr>
        <w:t>250</w:t>
      </w:r>
      <w:r>
        <w:rPr>
          <w:rFonts w:ascii="ˎ̥" w:hAnsi="ˎ̥" w:cs="Helvetica"/>
          <w:color w:val="333333"/>
          <w:lang/>
        </w:rPr>
        <w:t>万元；以</w:t>
      </w:r>
      <w:r>
        <w:rPr>
          <w:rFonts w:ascii="ˎ̥" w:hAnsi="ˎ̥" w:cs="Helvetica"/>
          <w:color w:val="333333"/>
          <w:lang/>
        </w:rPr>
        <w:t>“</w:t>
      </w:r>
      <w:r>
        <w:rPr>
          <w:rFonts w:ascii="ˎ̥" w:hAnsi="ˎ̥" w:cs="Helvetica"/>
          <w:color w:val="333333"/>
          <w:lang/>
        </w:rPr>
        <w:t>借壳</w:t>
      </w:r>
      <w:r>
        <w:rPr>
          <w:rFonts w:ascii="ˎ̥" w:hAnsi="ˎ̥" w:cs="Helvetica"/>
          <w:color w:val="333333"/>
          <w:lang/>
        </w:rPr>
        <w:t>”</w:t>
      </w:r>
      <w:r>
        <w:rPr>
          <w:rFonts w:ascii="ˎ̥" w:hAnsi="ˎ̥" w:cs="Helvetica"/>
          <w:color w:val="333333"/>
          <w:lang/>
        </w:rPr>
        <w:t>、</w:t>
      </w:r>
      <w:r>
        <w:rPr>
          <w:rFonts w:ascii="ˎ̥" w:hAnsi="ˎ̥" w:cs="Helvetica"/>
          <w:color w:val="333333"/>
          <w:lang/>
        </w:rPr>
        <w:t>“</w:t>
      </w:r>
      <w:r>
        <w:rPr>
          <w:rFonts w:ascii="ˎ̥" w:hAnsi="ˎ̥" w:cs="Helvetica"/>
          <w:color w:val="333333"/>
          <w:lang/>
        </w:rPr>
        <w:t>买壳</w:t>
      </w:r>
      <w:r>
        <w:rPr>
          <w:rFonts w:ascii="ˎ̥" w:hAnsi="ˎ̥" w:cs="Helvetica"/>
          <w:color w:val="333333"/>
          <w:lang/>
        </w:rPr>
        <w:t>”</w:t>
      </w:r>
      <w:r>
        <w:rPr>
          <w:rFonts w:ascii="ˎ̥" w:hAnsi="ˎ̥" w:cs="Helvetica"/>
          <w:color w:val="333333"/>
          <w:lang/>
        </w:rPr>
        <w:t>的方式上市融资或在港台、境外资本市场上市融资，并将募集资金用于惠州企业发展的，给予最高</w:t>
      </w:r>
      <w:r>
        <w:rPr>
          <w:rFonts w:ascii="ˎ̥" w:hAnsi="ˎ̥" w:cs="Helvetica"/>
          <w:color w:val="333333"/>
          <w:lang/>
        </w:rPr>
        <w:t>300</w:t>
      </w:r>
      <w:r>
        <w:rPr>
          <w:rFonts w:ascii="ˎ̥" w:hAnsi="ˎ̥" w:cs="Helvetica"/>
          <w:color w:val="333333"/>
          <w:lang/>
        </w:rPr>
        <w:t>万元奖励。鼓励发行企业债券，对经国家发展改革委批准发行企业债券的，市财政给予奖励，具体办法另行制定并报市政府审定。（牵头单位：市金融工作局，责任单位：市发展改革局、财政局，人民银行惠州市中心支行</w:t>
      </w:r>
      <w:r>
        <w:rPr>
          <w:rFonts w:ascii="ˎ̥" w:hAnsi="ˎ̥" w:cs="Helvetica"/>
          <w:color w:val="333333"/>
          <w:lang/>
        </w:rPr>
        <w:t>，惠州银监分局）</w:t>
      </w:r>
      <w:r>
        <w:rPr>
          <w:rFonts w:ascii="ˎ̥" w:hAnsi="ˎ̥" w:cs="Helvetica"/>
          <w:color w:val="333333"/>
          <w:lang/>
        </w:rPr>
        <w:br/>
        <w:t>        </w:t>
      </w:r>
      <w:r>
        <w:rPr>
          <w:rFonts w:ascii="ˎ̥" w:hAnsi="ˎ̥" w:cs="Helvetica"/>
          <w:color w:val="333333"/>
          <w:lang/>
        </w:rPr>
        <w:t>（二十四）优先发展创业投资和股权投资。按市的有关规定，对在我市新注册的股权投资管理企业，给予</w:t>
      </w:r>
      <w:r>
        <w:rPr>
          <w:rFonts w:ascii="ˎ̥" w:hAnsi="ˎ̥" w:cs="Helvetica"/>
          <w:color w:val="333333"/>
          <w:lang/>
        </w:rPr>
        <w:t>50</w:t>
      </w:r>
      <w:r>
        <w:rPr>
          <w:rFonts w:ascii="ˎ̥" w:hAnsi="ˎ̥" w:cs="Helvetica"/>
          <w:color w:val="333333"/>
          <w:lang/>
        </w:rPr>
        <w:t>万元一次性奖励；对实收资本达</w:t>
      </w:r>
      <w:r>
        <w:rPr>
          <w:rFonts w:ascii="ˎ̥" w:hAnsi="ˎ̥" w:cs="Helvetica"/>
          <w:color w:val="333333"/>
          <w:lang/>
        </w:rPr>
        <w:t>5000</w:t>
      </w:r>
      <w:r>
        <w:rPr>
          <w:rFonts w:ascii="ˎ̥" w:hAnsi="ˎ̥" w:cs="Helvetica"/>
          <w:color w:val="333333"/>
          <w:lang/>
        </w:rPr>
        <w:t>万元以上的股权投资企业，按市有关规定给予奖励；对股权投资企业按其投入我市企业的实际投资额，按市有关规定给予投资奖励。落实创业投资企业所得税优惠政策，创业投资企业采取股权投资方式投资于未上市的中小高新技术企业</w:t>
      </w:r>
      <w:r>
        <w:rPr>
          <w:rFonts w:ascii="ˎ̥" w:hAnsi="ˎ̥" w:cs="Helvetica"/>
          <w:color w:val="333333"/>
          <w:lang/>
        </w:rPr>
        <w:t>2</w:t>
      </w:r>
      <w:r>
        <w:rPr>
          <w:rFonts w:ascii="ˎ̥" w:hAnsi="ˎ̥" w:cs="Helvetica"/>
          <w:color w:val="333333"/>
          <w:lang/>
        </w:rPr>
        <w:t>年（</w:t>
      </w:r>
      <w:r>
        <w:rPr>
          <w:rFonts w:ascii="ˎ̥" w:hAnsi="ˎ̥" w:cs="Helvetica"/>
          <w:color w:val="333333"/>
          <w:lang/>
        </w:rPr>
        <w:t>24</w:t>
      </w:r>
      <w:r>
        <w:rPr>
          <w:rFonts w:ascii="ˎ̥" w:hAnsi="ˎ̥" w:cs="Helvetica"/>
          <w:color w:val="333333"/>
          <w:lang/>
        </w:rPr>
        <w:t>个月）以上，凡符合相关条件的，可以按照其对中小高新技术企业投资额</w:t>
      </w:r>
      <w:r>
        <w:rPr>
          <w:rFonts w:ascii="ˎ̥" w:hAnsi="ˎ̥" w:cs="Helvetica"/>
          <w:color w:val="333333"/>
          <w:lang/>
        </w:rPr>
        <w:t>70</w:t>
      </w:r>
      <w:r>
        <w:rPr>
          <w:rFonts w:ascii="ˎ̥" w:hAnsi="ˎ̥" w:cs="Helvetica"/>
          <w:color w:val="333333"/>
          <w:lang/>
        </w:rPr>
        <w:t>％，在股权持有满</w:t>
      </w:r>
      <w:r>
        <w:rPr>
          <w:rFonts w:ascii="ˎ̥" w:hAnsi="ˎ̥" w:cs="Helvetica"/>
          <w:color w:val="333333"/>
          <w:lang/>
        </w:rPr>
        <w:t>2</w:t>
      </w:r>
      <w:r>
        <w:rPr>
          <w:rFonts w:ascii="ˎ̥" w:hAnsi="ˎ̥" w:cs="Helvetica"/>
          <w:color w:val="333333"/>
          <w:lang/>
        </w:rPr>
        <w:t>年的当年抵扣该创业投资企业的应纳税所得额；当</w:t>
      </w:r>
      <w:r>
        <w:rPr>
          <w:rFonts w:ascii="ˎ̥" w:hAnsi="ˎ̥" w:cs="Helvetica"/>
          <w:color w:val="333333"/>
          <w:lang/>
        </w:rPr>
        <w:t>年不足抵扣的，可以在以后纳税年度结转抵扣。（牵头单位：市金融工作局，责任单位：市发展改革局、财政局、国税局、地税局）</w:t>
      </w:r>
      <w:r>
        <w:rPr>
          <w:rFonts w:ascii="ˎ̥" w:hAnsi="ˎ̥" w:cs="Helvetica"/>
          <w:color w:val="333333"/>
          <w:lang/>
        </w:rPr>
        <w:br/>
        <w:t xml:space="preserve">        </w:t>
      </w:r>
      <w:r>
        <w:rPr>
          <w:rFonts w:ascii="ˎ̥" w:hAnsi="ˎ̥" w:cs="Helvetica"/>
          <w:color w:val="333333"/>
          <w:lang/>
        </w:rPr>
        <w:t>（二十五）引进和培养各层次人才。深化完善</w:t>
      </w:r>
      <w:r>
        <w:rPr>
          <w:rFonts w:ascii="ˎ̥" w:hAnsi="ˎ̥" w:cs="Helvetica"/>
          <w:color w:val="333333"/>
          <w:lang/>
        </w:rPr>
        <w:t>“</w:t>
      </w:r>
      <w:r>
        <w:rPr>
          <w:rFonts w:ascii="ˎ̥" w:hAnsi="ˎ̥" w:cs="Helvetica"/>
          <w:color w:val="333333"/>
          <w:lang/>
        </w:rPr>
        <w:t>人才双高计划</w:t>
      </w:r>
      <w:r>
        <w:rPr>
          <w:rFonts w:ascii="ˎ̥" w:hAnsi="ˎ̥" w:cs="Helvetica"/>
          <w:color w:val="333333"/>
          <w:lang/>
        </w:rPr>
        <w:t>”</w:t>
      </w:r>
      <w:r>
        <w:rPr>
          <w:rFonts w:ascii="ˎ̥" w:hAnsi="ˎ̥" w:cs="Helvetica"/>
          <w:color w:val="333333"/>
          <w:lang/>
        </w:rPr>
        <w:t>，大力实施</w:t>
      </w:r>
      <w:r>
        <w:rPr>
          <w:rFonts w:ascii="ˎ̥" w:hAnsi="ˎ̥" w:cs="Helvetica"/>
          <w:color w:val="333333"/>
          <w:lang/>
        </w:rPr>
        <w:t>“</w:t>
      </w:r>
      <w:r>
        <w:rPr>
          <w:rFonts w:ascii="ˎ̥" w:hAnsi="ˎ̥" w:cs="Helvetica"/>
          <w:color w:val="333333"/>
          <w:lang/>
        </w:rPr>
        <w:t>人才双十行动</w:t>
      </w:r>
      <w:r>
        <w:rPr>
          <w:rFonts w:ascii="ˎ̥" w:hAnsi="ˎ̥" w:cs="Helvetica"/>
          <w:color w:val="333333"/>
          <w:lang/>
        </w:rPr>
        <w:t>”</w:t>
      </w:r>
      <w:r>
        <w:rPr>
          <w:rFonts w:ascii="ˎ̥" w:hAnsi="ˎ̥" w:cs="Helvetica"/>
          <w:color w:val="333333"/>
          <w:lang/>
        </w:rPr>
        <w:t>，培养高层次和高技能人才，引进培养一批科技创新团队、科技领军人才、创新创业海外高层次人才等，落实完善项目资助、创业创新、子女教育等方面扶持政策。实施</w:t>
      </w:r>
      <w:r>
        <w:rPr>
          <w:rFonts w:ascii="ˎ̥" w:hAnsi="ˎ̥" w:cs="Helvetica"/>
          <w:color w:val="333333"/>
          <w:lang/>
        </w:rPr>
        <w:t>“</w:t>
      </w:r>
      <w:r>
        <w:rPr>
          <w:rFonts w:ascii="ˎ̥" w:hAnsi="ˎ̥" w:cs="Helvetica"/>
          <w:color w:val="333333"/>
          <w:lang/>
        </w:rPr>
        <w:t>天鹅惠聚工程</w:t>
      </w:r>
      <w:r>
        <w:rPr>
          <w:rFonts w:ascii="ˎ̥" w:hAnsi="ˎ̥" w:cs="Helvetica"/>
          <w:color w:val="333333"/>
          <w:lang/>
        </w:rPr>
        <w:t>”</w:t>
      </w:r>
      <w:r>
        <w:rPr>
          <w:rFonts w:ascii="ˎ̥" w:hAnsi="ˎ̥" w:cs="Helvetica"/>
          <w:color w:val="333333"/>
          <w:lang/>
        </w:rPr>
        <w:t>，对入选的科技创新团队和科技领军人才，按市有关规定分别给予最高</w:t>
      </w:r>
      <w:r>
        <w:rPr>
          <w:rFonts w:ascii="ˎ̥" w:hAnsi="ˎ̥" w:cs="Helvetica"/>
          <w:color w:val="333333"/>
          <w:lang/>
        </w:rPr>
        <w:t>1000</w:t>
      </w:r>
      <w:r>
        <w:rPr>
          <w:rFonts w:ascii="ˎ̥" w:hAnsi="ˎ̥" w:cs="Helvetica"/>
          <w:color w:val="333333"/>
          <w:lang/>
        </w:rPr>
        <w:t>万元和</w:t>
      </w:r>
      <w:r>
        <w:rPr>
          <w:rFonts w:ascii="ˎ̥" w:hAnsi="ˎ̥" w:cs="Helvetica"/>
          <w:color w:val="333333"/>
          <w:lang/>
        </w:rPr>
        <w:t>100</w:t>
      </w:r>
      <w:r>
        <w:rPr>
          <w:rFonts w:ascii="ˎ̥" w:hAnsi="ˎ̥" w:cs="Helvetica"/>
          <w:color w:val="333333"/>
          <w:lang/>
        </w:rPr>
        <w:t>万元工作经费的支持；深入实施</w:t>
      </w:r>
      <w:r>
        <w:rPr>
          <w:rFonts w:ascii="ˎ̥" w:hAnsi="ˎ̥" w:cs="Helvetica"/>
          <w:color w:val="333333"/>
          <w:lang/>
        </w:rPr>
        <w:t>“</w:t>
      </w:r>
      <w:r>
        <w:rPr>
          <w:rFonts w:ascii="ˎ̥" w:hAnsi="ˎ̥" w:cs="Helvetica"/>
          <w:color w:val="333333"/>
          <w:lang/>
        </w:rPr>
        <w:t>拔尖人才工程</w:t>
      </w:r>
      <w:r>
        <w:rPr>
          <w:rFonts w:ascii="ˎ̥" w:hAnsi="ˎ̥" w:cs="Helvetica"/>
          <w:color w:val="333333"/>
          <w:lang/>
        </w:rPr>
        <w:t>”</w:t>
      </w:r>
      <w:r>
        <w:rPr>
          <w:rFonts w:ascii="ˎ̥" w:hAnsi="ˎ̥" w:cs="Helvetica"/>
          <w:color w:val="333333"/>
          <w:lang/>
        </w:rPr>
        <w:t>、</w:t>
      </w:r>
      <w:r>
        <w:rPr>
          <w:rFonts w:ascii="ˎ̥" w:hAnsi="ˎ̥" w:cs="Helvetica"/>
          <w:color w:val="333333"/>
          <w:lang/>
        </w:rPr>
        <w:t>“</w:t>
      </w:r>
      <w:r>
        <w:rPr>
          <w:rFonts w:ascii="ˎ̥" w:hAnsi="ˎ̥" w:cs="Helvetica"/>
          <w:color w:val="333333"/>
          <w:lang/>
        </w:rPr>
        <w:t>蓝</w:t>
      </w:r>
      <w:r>
        <w:rPr>
          <w:rFonts w:ascii="ˎ̥" w:hAnsi="ˎ̥" w:cs="Helvetica"/>
          <w:color w:val="333333"/>
          <w:lang/>
        </w:rPr>
        <w:t>领博士工程</w:t>
      </w:r>
      <w:r>
        <w:rPr>
          <w:rFonts w:ascii="ˎ̥" w:hAnsi="ˎ̥" w:cs="Helvetica"/>
          <w:color w:val="333333"/>
          <w:lang/>
        </w:rPr>
        <w:t>”</w:t>
      </w:r>
      <w:r>
        <w:rPr>
          <w:rFonts w:ascii="ˎ̥" w:hAnsi="ˎ̥" w:cs="Helvetica"/>
          <w:color w:val="333333"/>
          <w:lang/>
        </w:rPr>
        <w:t>、</w:t>
      </w:r>
      <w:r>
        <w:rPr>
          <w:rFonts w:ascii="ˎ̥" w:hAnsi="ˎ̥" w:cs="Helvetica"/>
          <w:color w:val="333333"/>
          <w:lang/>
        </w:rPr>
        <w:t>“</w:t>
      </w:r>
      <w:r>
        <w:rPr>
          <w:rFonts w:ascii="ˎ̥" w:hAnsi="ˎ̥" w:cs="Helvetica"/>
          <w:color w:val="333333"/>
          <w:lang/>
        </w:rPr>
        <w:t>企业精英工程</w:t>
      </w:r>
      <w:r>
        <w:rPr>
          <w:rFonts w:ascii="ˎ̥" w:hAnsi="ˎ̥" w:cs="Helvetica"/>
          <w:color w:val="333333"/>
          <w:lang/>
        </w:rPr>
        <w:t>”</w:t>
      </w:r>
      <w:r>
        <w:rPr>
          <w:rFonts w:ascii="ˎ̥" w:hAnsi="ˎ̥" w:cs="Helvetica"/>
          <w:color w:val="333333"/>
          <w:lang/>
        </w:rPr>
        <w:t>等人才培养工程。加强职业技能培训，鼓励高校、专业培训机构面向现代服务业企业开展各种职业技能培训，增设现代服务业领域专业。深化技能人才合作培训制度，加强专业人才的再培训和再教育，支持企业自主开展职工技能培训。（牵头单位：市委组织部，责任单位：市人力资源和社会保障局、教育局）</w:t>
      </w:r>
      <w:r>
        <w:rPr>
          <w:rFonts w:ascii="ˎ̥" w:hAnsi="ˎ̥" w:cs="Helvetica"/>
          <w:color w:val="333333"/>
          <w:lang/>
        </w:rPr>
        <w:br/>
        <w:t>        </w:t>
      </w:r>
      <w:r>
        <w:rPr>
          <w:rFonts w:ascii="ˎ̥" w:hAnsi="ˎ̥" w:cs="Helvetica"/>
          <w:color w:val="333333"/>
          <w:lang/>
        </w:rPr>
        <w:t>（二十六）切实加强用地保障。适应现代服务业特点明确用地类型，属于研发设计、勘察、检验检测、技术推广、环境评估与监测项目的，可按科教用途落实用地；属于下一代信息网络产业、新型信息技术服务、电子商</w:t>
      </w:r>
      <w:r>
        <w:rPr>
          <w:rFonts w:ascii="ˎ̥" w:hAnsi="ˎ̥" w:cs="Helvetica"/>
          <w:color w:val="333333"/>
          <w:lang/>
        </w:rPr>
        <w:t>务服务等经营服务项目的，可按商服用途落实用地。现代服务业新业态项目土地用途不明确的，可经县级以上城乡规划部门会同国土资源等相关部门论证，在现有国家城市用地分类的基础上制定地方标准予以明确，向社会公开后实施。运用多种方式供应现代服务业用地，鼓励现代服务业以租赁方式或先租后让、租让结合方式供应土地；以招标拍卖挂牌方式出让土地时，可将产业类型、产业标准、要求作为土地供应前置条件。差别化保障新业态用地，新能源汽车充电设施、移动通信基站等用地面积小、需多点分布的新产业配套基础设施，可采取配建方式供地；鼓励新产业小型配</w:t>
      </w:r>
      <w:r>
        <w:rPr>
          <w:rFonts w:ascii="ˎ̥" w:hAnsi="ˎ̥" w:cs="Helvetica"/>
          <w:color w:val="333333"/>
          <w:lang/>
        </w:rPr>
        <w:t>套设施依法取得地役权进行建设。鼓励盘活利用现有用地，对工业企业和科研机构整体或部分转型为生产性服务业、兴办创客空间、发展</w:t>
      </w:r>
      <w:r>
        <w:rPr>
          <w:rFonts w:ascii="ˎ̥" w:hAnsi="ˎ̥" w:cs="Helvetica"/>
          <w:color w:val="333333"/>
          <w:lang/>
        </w:rPr>
        <w:t>“</w:t>
      </w:r>
      <w:r>
        <w:rPr>
          <w:rFonts w:ascii="ˎ̥" w:hAnsi="ˎ̥" w:cs="Helvetica"/>
          <w:color w:val="333333"/>
          <w:lang/>
        </w:rPr>
        <w:t>互联网＋</w:t>
      </w:r>
      <w:r>
        <w:rPr>
          <w:rFonts w:ascii="ˎ̥" w:hAnsi="ˎ̥" w:cs="Helvetica"/>
          <w:color w:val="333333"/>
          <w:lang/>
        </w:rPr>
        <w:t>”</w:t>
      </w:r>
      <w:r>
        <w:rPr>
          <w:rFonts w:ascii="ˎ̥" w:hAnsi="ˎ̥" w:cs="Helvetica"/>
          <w:color w:val="333333"/>
          <w:lang/>
        </w:rPr>
        <w:t>业务的，可实行继续按原用途和土地权利类型使用土地的过渡期政策。（牵头单位：市国土资源局，责任单位：市住房和城乡规划建设局）</w:t>
      </w:r>
      <w:r>
        <w:rPr>
          <w:rFonts w:ascii="ˎ̥" w:hAnsi="ˎ̥" w:cs="Helvetica"/>
          <w:color w:val="333333"/>
          <w:lang/>
        </w:rPr>
        <w:br/>
        <w:t xml:space="preserve">        </w:t>
      </w:r>
      <w:r>
        <w:rPr>
          <w:rFonts w:ascii="ˎ̥" w:hAnsi="ˎ̥" w:cs="Helvetica"/>
          <w:color w:val="333333"/>
          <w:lang/>
        </w:rPr>
        <w:t>七、持续优化发展环境</w:t>
      </w:r>
      <w:r>
        <w:rPr>
          <w:rFonts w:ascii="ˎ̥" w:hAnsi="ˎ̥" w:cs="Helvetica"/>
          <w:color w:val="333333"/>
          <w:lang/>
        </w:rPr>
        <w:br/>
        <w:t xml:space="preserve">        </w:t>
      </w:r>
      <w:r>
        <w:rPr>
          <w:rFonts w:ascii="ˎ̥" w:hAnsi="ˎ̥" w:cs="Helvetica"/>
          <w:color w:val="333333"/>
          <w:lang/>
        </w:rPr>
        <w:t>（二十七）降低企业税负成本。落实营业税改征增值税等结构性减税政策。落实国家、省支持小微企业发展的增值税、企业所得税等一揽子税收优惠政策。落实高新技术企业等减免税政策，以及企业研发费用加计扣除、企业固定资</w:t>
      </w:r>
      <w:r>
        <w:rPr>
          <w:rFonts w:ascii="ˎ̥" w:hAnsi="ˎ̥" w:cs="Helvetica"/>
          <w:color w:val="333333"/>
          <w:lang/>
        </w:rPr>
        <w:t>产加速折旧等政策措施。（牵头单位：市财政局，责任单位：市国税局、地税局、科技局）</w:t>
      </w:r>
      <w:r>
        <w:rPr>
          <w:rFonts w:ascii="ˎ̥" w:hAnsi="ˎ̥" w:cs="Helvetica"/>
          <w:color w:val="333333"/>
          <w:lang/>
        </w:rPr>
        <w:br/>
        <w:t xml:space="preserve">        </w:t>
      </w:r>
      <w:r>
        <w:rPr>
          <w:rFonts w:ascii="ˎ̥" w:hAnsi="ˎ̥" w:cs="Helvetica"/>
          <w:color w:val="333333"/>
          <w:lang/>
        </w:rPr>
        <w:t>（二十八）降低企业制度性交易成本。严格执行免征中央、省设立的涉企行政事业性收费省、市、县级收入的政策，全面实现省定涉企行政事业性收费</w:t>
      </w:r>
      <w:r>
        <w:rPr>
          <w:rFonts w:ascii="ˎ̥" w:hAnsi="ˎ̥" w:cs="Helvetica"/>
          <w:color w:val="333333"/>
          <w:lang/>
        </w:rPr>
        <w:t>“</w:t>
      </w:r>
      <w:r>
        <w:rPr>
          <w:rFonts w:ascii="ˎ̥" w:hAnsi="ˎ̥" w:cs="Helvetica"/>
          <w:color w:val="333333"/>
          <w:lang/>
        </w:rPr>
        <w:t>零收费</w:t>
      </w:r>
      <w:r>
        <w:rPr>
          <w:rFonts w:ascii="ˎ̥" w:hAnsi="ˎ̥" w:cs="Helvetica"/>
          <w:color w:val="333333"/>
          <w:lang/>
        </w:rPr>
        <w:t>”</w:t>
      </w:r>
      <w:r>
        <w:rPr>
          <w:rFonts w:ascii="ˎ̥" w:hAnsi="ˎ̥" w:cs="Helvetica"/>
          <w:color w:val="333333"/>
          <w:lang/>
        </w:rPr>
        <w:t>。强化行政事业性收费监管，深入开展涉企收费检查，整治各类乱收费行为。清理规范行政审批中介服务收费。对新开办的小型微型企业，符合条件的可免征</w:t>
      </w:r>
      <w:r>
        <w:rPr>
          <w:rFonts w:ascii="ˎ̥" w:hAnsi="ˎ̥" w:cs="Helvetica"/>
          <w:color w:val="333333"/>
          <w:lang/>
        </w:rPr>
        <w:t>3</w:t>
      </w:r>
      <w:r>
        <w:rPr>
          <w:rFonts w:ascii="ˎ̥" w:hAnsi="ˎ̥" w:cs="Helvetica"/>
          <w:color w:val="333333"/>
          <w:lang/>
        </w:rPr>
        <w:t>年的残疾人就业保障金。（牵头单位：市财政局，责任单位：市发展改革局、编办、残联）</w:t>
      </w:r>
      <w:r>
        <w:rPr>
          <w:rFonts w:ascii="ˎ̥" w:hAnsi="ˎ̥" w:cs="Helvetica"/>
          <w:color w:val="333333"/>
          <w:lang/>
        </w:rPr>
        <w:br/>
        <w:t xml:space="preserve">        </w:t>
      </w:r>
      <w:r>
        <w:rPr>
          <w:rFonts w:ascii="ˎ̥" w:hAnsi="ˎ̥" w:cs="Helvetica"/>
          <w:color w:val="333333"/>
          <w:lang/>
        </w:rPr>
        <w:t>（二十九）合理降低企业人工成本。完</w:t>
      </w:r>
      <w:r>
        <w:rPr>
          <w:rFonts w:ascii="ˎ̥" w:hAnsi="ˎ̥" w:cs="Helvetica"/>
          <w:color w:val="333333"/>
          <w:lang/>
        </w:rPr>
        <w:t>善最低工资标准调整机制，统筹兼顾企业承受能力和保障劳动者最低劳动报酬权益，合理确定最低工资标准调整幅度和调整频率。降低企业社保缴费比例。落实中央、省阶段性调整</w:t>
      </w:r>
      <w:r>
        <w:rPr>
          <w:rFonts w:ascii="ˎ̥" w:hAnsi="ˎ̥" w:cs="Helvetica"/>
          <w:color w:val="333333"/>
          <w:lang/>
        </w:rPr>
        <w:t>“</w:t>
      </w:r>
      <w:r>
        <w:rPr>
          <w:rFonts w:ascii="ˎ̥" w:hAnsi="ˎ̥" w:cs="Helvetica"/>
          <w:color w:val="333333"/>
          <w:lang/>
        </w:rPr>
        <w:t>五险一金</w:t>
      </w:r>
      <w:r>
        <w:rPr>
          <w:rFonts w:ascii="ˎ̥" w:hAnsi="ˎ̥" w:cs="Helvetica"/>
          <w:color w:val="333333"/>
          <w:lang/>
        </w:rPr>
        <w:t>”</w:t>
      </w:r>
      <w:r>
        <w:rPr>
          <w:rFonts w:ascii="ˎ̥" w:hAnsi="ˎ̥" w:cs="Helvetica"/>
          <w:color w:val="333333"/>
          <w:lang/>
        </w:rPr>
        <w:t>缴存比例的政策，落实精简归并</w:t>
      </w:r>
      <w:r>
        <w:rPr>
          <w:rFonts w:ascii="ˎ̥" w:hAnsi="ˎ̥" w:cs="Helvetica"/>
          <w:color w:val="333333"/>
          <w:lang/>
        </w:rPr>
        <w:t>“</w:t>
      </w:r>
      <w:r>
        <w:rPr>
          <w:rFonts w:ascii="ˎ̥" w:hAnsi="ˎ̥" w:cs="Helvetica"/>
          <w:color w:val="333333"/>
          <w:lang/>
        </w:rPr>
        <w:t>五险一金</w:t>
      </w:r>
      <w:r>
        <w:rPr>
          <w:rFonts w:ascii="ˎ̥" w:hAnsi="ˎ̥" w:cs="Helvetica"/>
          <w:color w:val="333333"/>
          <w:lang/>
        </w:rPr>
        <w:t>”</w:t>
      </w:r>
      <w:r>
        <w:rPr>
          <w:rFonts w:ascii="ˎ̥" w:hAnsi="ˎ̥" w:cs="Helvetica"/>
          <w:color w:val="333333"/>
          <w:lang/>
        </w:rPr>
        <w:t>政策，适当降低社会保险费率，逐步将基本医疗保险单位平均费率下调至</w:t>
      </w:r>
      <w:r>
        <w:rPr>
          <w:rFonts w:ascii="ˎ̥" w:hAnsi="ˎ̥" w:cs="Helvetica"/>
          <w:color w:val="333333"/>
          <w:lang/>
        </w:rPr>
        <w:t>5.5</w:t>
      </w:r>
      <w:r>
        <w:rPr>
          <w:rFonts w:ascii="ˎ̥" w:hAnsi="ˎ̥" w:cs="Helvetica"/>
          <w:color w:val="333333"/>
          <w:lang/>
        </w:rPr>
        <w:t>％左右，将工伤保险平均费率下调至</w:t>
      </w:r>
      <w:r>
        <w:rPr>
          <w:rFonts w:ascii="ˎ̥" w:hAnsi="ˎ̥" w:cs="Helvetica"/>
          <w:color w:val="333333"/>
          <w:lang/>
        </w:rPr>
        <w:t>0.43</w:t>
      </w:r>
      <w:r>
        <w:rPr>
          <w:rFonts w:ascii="ˎ̥" w:hAnsi="ˎ̥" w:cs="Helvetica"/>
          <w:color w:val="333333"/>
          <w:lang/>
        </w:rPr>
        <w:t>％以下。降低住房公积金缴存比例。住房公积金缴存比例的上限从</w:t>
      </w:r>
      <w:r>
        <w:rPr>
          <w:rFonts w:ascii="ˎ̥" w:hAnsi="ˎ̥" w:cs="Helvetica"/>
          <w:color w:val="333333"/>
          <w:lang/>
        </w:rPr>
        <w:t>20</w:t>
      </w:r>
      <w:r>
        <w:rPr>
          <w:rFonts w:ascii="ˎ̥" w:hAnsi="ˎ̥" w:cs="Helvetica"/>
          <w:color w:val="333333"/>
          <w:lang/>
        </w:rPr>
        <w:t>％降低至</w:t>
      </w:r>
      <w:r>
        <w:rPr>
          <w:rFonts w:ascii="ˎ̥" w:hAnsi="ˎ̥" w:cs="Helvetica"/>
          <w:color w:val="333333"/>
          <w:lang/>
        </w:rPr>
        <w:t>12</w:t>
      </w:r>
      <w:r>
        <w:rPr>
          <w:rFonts w:ascii="ˎ̥" w:hAnsi="ˎ̥" w:cs="Helvetica"/>
          <w:color w:val="333333"/>
          <w:lang/>
        </w:rPr>
        <w:t>％，缴存基数上限从月平均工资的</w:t>
      </w:r>
      <w:r>
        <w:rPr>
          <w:rFonts w:ascii="ˎ̥" w:hAnsi="ˎ̥" w:cs="Helvetica"/>
          <w:color w:val="333333"/>
          <w:lang/>
        </w:rPr>
        <w:t>5</w:t>
      </w:r>
      <w:r>
        <w:rPr>
          <w:rFonts w:ascii="ˎ̥" w:hAnsi="ˎ̥" w:cs="Helvetica"/>
          <w:color w:val="333333"/>
          <w:lang/>
        </w:rPr>
        <w:t>倍降低至</w:t>
      </w:r>
      <w:r>
        <w:rPr>
          <w:rFonts w:ascii="ˎ̥" w:hAnsi="ˎ̥" w:cs="Helvetica"/>
          <w:color w:val="333333"/>
          <w:lang/>
        </w:rPr>
        <w:t>3</w:t>
      </w:r>
      <w:r>
        <w:rPr>
          <w:rFonts w:ascii="ˎ̥" w:hAnsi="ˎ̥" w:cs="Helvetica"/>
          <w:color w:val="333333"/>
          <w:lang/>
        </w:rPr>
        <w:t>倍。对缴存住房公积金确有困难的企业，可按规定申请降低缴存比例或者缓缴。（牵头</w:t>
      </w:r>
      <w:r>
        <w:rPr>
          <w:rFonts w:ascii="ˎ̥" w:hAnsi="ˎ̥" w:cs="Helvetica"/>
          <w:color w:val="333333"/>
          <w:lang/>
        </w:rPr>
        <w:t>单位：市人力资源和社会保障局，责任单位：市住房公积金管理中心、地税局）</w:t>
      </w:r>
      <w:r>
        <w:rPr>
          <w:rFonts w:ascii="ˎ̥" w:hAnsi="ˎ̥" w:cs="Helvetica"/>
          <w:color w:val="333333"/>
          <w:lang/>
        </w:rPr>
        <w:br/>
        <w:t xml:space="preserve">        </w:t>
      </w:r>
      <w:r>
        <w:rPr>
          <w:rFonts w:ascii="ˎ̥" w:hAnsi="ˎ̥" w:cs="Helvetica"/>
          <w:color w:val="333333"/>
          <w:lang/>
        </w:rPr>
        <w:t>（三十）创建国家社会信用体系建设示范城市。充分运用</w:t>
      </w:r>
      <w:r>
        <w:rPr>
          <w:rFonts w:ascii="ˎ̥" w:hAnsi="ˎ̥" w:cs="Helvetica"/>
          <w:color w:val="333333"/>
          <w:lang/>
        </w:rPr>
        <w:t>“</w:t>
      </w:r>
      <w:r>
        <w:rPr>
          <w:rFonts w:ascii="ˎ̥" w:hAnsi="ˎ̥" w:cs="Helvetica"/>
          <w:color w:val="333333"/>
          <w:lang/>
        </w:rPr>
        <w:t>互联网＋</w:t>
      </w:r>
      <w:r>
        <w:rPr>
          <w:rFonts w:ascii="ˎ̥" w:hAnsi="ˎ̥" w:cs="Helvetica"/>
          <w:color w:val="333333"/>
          <w:lang/>
        </w:rPr>
        <w:t>”</w:t>
      </w:r>
      <w:r>
        <w:rPr>
          <w:rFonts w:ascii="ˎ̥" w:hAnsi="ˎ̥" w:cs="Helvetica"/>
          <w:color w:val="333333"/>
          <w:lang/>
        </w:rPr>
        <w:t>、大数据等手段，推进社会信用体系建设的体制机制创新。实现信用惠州网实时与全国信用信息共享平台、</w:t>
      </w:r>
      <w:r>
        <w:rPr>
          <w:rFonts w:ascii="ˎ̥" w:hAnsi="ˎ̥" w:cs="Helvetica"/>
          <w:color w:val="333333"/>
          <w:lang/>
        </w:rPr>
        <w:t>“</w:t>
      </w:r>
      <w:r>
        <w:rPr>
          <w:rFonts w:ascii="ˎ̥" w:hAnsi="ˎ̥" w:cs="Helvetica"/>
          <w:color w:val="333333"/>
          <w:lang/>
        </w:rPr>
        <w:t>信用中国</w:t>
      </w:r>
      <w:r>
        <w:rPr>
          <w:rFonts w:ascii="ˎ̥" w:hAnsi="ˎ̥" w:cs="Helvetica"/>
          <w:color w:val="333333"/>
          <w:lang/>
        </w:rPr>
        <w:t>”</w:t>
      </w:r>
      <w:r>
        <w:rPr>
          <w:rFonts w:ascii="ˎ̥" w:hAnsi="ˎ̥" w:cs="Helvetica"/>
          <w:color w:val="333333"/>
          <w:lang/>
        </w:rPr>
        <w:t>网站共享信息。全面建立事前信用承诺、事中信用分类监管、事后信用联合惩戒制度。加快形成社会信用体系建设标准化、征信制度化、应用系统化、管理规范化，基本形成诚实、自律、守信、互信的氛围，为现代服务业发展创造良好环境。（牵头单位：市发展改革局，责任单位：市经济和</w:t>
      </w:r>
      <w:r>
        <w:rPr>
          <w:rFonts w:ascii="ˎ̥" w:hAnsi="ˎ̥" w:cs="Helvetica"/>
          <w:color w:val="333333"/>
          <w:lang/>
        </w:rPr>
        <w:t>信息化局，人民银行惠州市中心支行）</w:t>
      </w:r>
      <w:r>
        <w:rPr>
          <w:rFonts w:ascii="ˎ̥" w:hAnsi="ˎ̥" w:cs="Helvetica"/>
          <w:color w:val="333333"/>
          <w:lang/>
        </w:rPr>
        <w:br/>
        <w:t xml:space="preserve">        </w:t>
      </w:r>
      <w:r>
        <w:rPr>
          <w:rFonts w:ascii="ˎ̥" w:hAnsi="ˎ̥" w:cs="Helvetica"/>
          <w:color w:val="333333"/>
          <w:lang/>
        </w:rPr>
        <w:t>（三十一）鼓励发展社会中介组织。深入推进部分政府职能向社会中介组织转移的改革，支持服务业行业协会在行业自律、品牌创建、标准制定、执业资格、教育培训等方面发挥更大作用，助推全市现代服务业加快发展。（牵头单位：市编办，责任单位：市民政局、发展改革局）</w:t>
      </w:r>
      <w:r>
        <w:rPr>
          <w:rFonts w:ascii="ˎ̥" w:hAnsi="ˎ̥" w:cs="Helvetica"/>
          <w:color w:val="333333"/>
          <w:lang/>
        </w:rPr>
        <w:br/>
        <w:t xml:space="preserve">        </w:t>
      </w:r>
      <w:r>
        <w:rPr>
          <w:rFonts w:ascii="ˎ̥" w:hAnsi="ˎ̥" w:cs="Helvetica"/>
          <w:color w:val="333333"/>
          <w:lang/>
        </w:rPr>
        <w:t>八、健全推进工作机制</w:t>
      </w:r>
      <w:r>
        <w:rPr>
          <w:rFonts w:ascii="ˎ̥" w:hAnsi="ˎ̥" w:cs="Helvetica"/>
          <w:color w:val="333333"/>
          <w:lang/>
        </w:rPr>
        <w:br/>
        <w:t xml:space="preserve">        </w:t>
      </w:r>
      <w:r>
        <w:rPr>
          <w:rFonts w:ascii="ˎ̥" w:hAnsi="ˎ̥" w:cs="Helvetica"/>
          <w:color w:val="333333"/>
          <w:lang/>
        </w:rPr>
        <w:t>（三十二）加强组织协调。建立健全与现代服务业发展新任务、新要求相适应的工作体系和推进机制，市服务业发展领导小组负责推进全市现代服务业发展，领导小组办公室负责现</w:t>
      </w:r>
      <w:r>
        <w:rPr>
          <w:rFonts w:ascii="ˎ̥" w:hAnsi="ˎ̥" w:cs="Helvetica"/>
          <w:color w:val="333333"/>
          <w:lang/>
        </w:rPr>
        <w:t>代服务业的组织协调、统筹规划、任务分解和政策研究，各成员单位按行业领域和职责分工，制定具体推进措施，确保各项目标任务完成。</w:t>
      </w:r>
      <w:r>
        <w:rPr>
          <w:rFonts w:ascii="ˎ̥" w:hAnsi="ˎ̥" w:cs="Helvetica"/>
          <w:color w:val="333333"/>
          <w:lang/>
        </w:rPr>
        <w:br/>
        <w:t>        </w:t>
      </w:r>
      <w:r>
        <w:rPr>
          <w:rFonts w:ascii="ˎ̥" w:hAnsi="ˎ̥" w:cs="Helvetica"/>
          <w:color w:val="333333"/>
          <w:lang/>
        </w:rPr>
        <w:t>（三十三）完善统计制度。在服务业统计调查制度基础上，结合我市实际，按照省统计局印发的《广东生产性服务业增加值核算工作方案》，加强和完善我市生产性服务业增加值核算工作。建立健全有关部门信息共享机制，及时发布生产性服务业增加值数据。加强生产性服务业企业的入库统计工作，将符合条件的企业纳入联网直报。</w:t>
      </w:r>
      <w:r>
        <w:rPr>
          <w:rFonts w:ascii="ˎ̥" w:hAnsi="ˎ̥" w:cs="Helvetica"/>
          <w:color w:val="333333"/>
          <w:lang/>
        </w:rPr>
        <w:br/>
        <w:t xml:space="preserve">        </w:t>
      </w:r>
      <w:r>
        <w:rPr>
          <w:rFonts w:ascii="ˎ̥" w:hAnsi="ˎ̥" w:cs="Helvetica"/>
          <w:color w:val="333333"/>
          <w:lang/>
        </w:rPr>
        <w:t>（三十四）健全绩效考评机制。将现代服务业发展纳入地方党政领导</w:t>
      </w:r>
      <w:r>
        <w:rPr>
          <w:rFonts w:ascii="ˎ̥" w:hAnsi="ˎ̥" w:cs="Helvetica"/>
          <w:color w:val="333333"/>
          <w:lang/>
        </w:rPr>
        <w:t>班子落实科学发展观综合评价考核指标体系和实施《珠三角规划纲要》评估考核体系的范围，进一步完善评价与考核指标，激励各地、各部门发展现代服务业的积极性。</w:t>
      </w:r>
      <w:r>
        <w:rPr>
          <w:rFonts w:ascii="ˎ̥" w:hAnsi="ˎ̥" w:cs="Helvetica"/>
          <w:color w:val="333333"/>
          <w:lang/>
        </w:rPr>
        <w:br/>
        <w:t>        </w:t>
      </w:r>
      <w:r>
        <w:rPr>
          <w:rFonts w:ascii="ˎ̥" w:hAnsi="ˎ̥" w:cs="Helvetica"/>
          <w:color w:val="333333"/>
          <w:lang/>
        </w:rPr>
        <w:t>（三十五）强化政策措施落实。各县（区）、各部门要按照本意见的要求，抓好各项政策的落实工作，制定和出台具体办法、实施细则和配套政策。加强督查督办，推动各项政策措施落实，促进我市现代服务业加快发展。</w:t>
      </w:r>
      <w:r>
        <w:rPr>
          <w:rFonts w:ascii="ˎ̥" w:hAnsi="ˎ̥" w:cs="Helvetica"/>
          <w:color w:val="333333"/>
          <w:lang/>
        </w:rPr>
        <w:br/>
        <w:t>        </w:t>
      </w:r>
      <w:r>
        <w:rPr>
          <w:rFonts w:ascii="ˎ̥" w:hAnsi="ˎ̥" w:cs="Helvetica"/>
          <w:color w:val="333333"/>
          <w:lang/>
        </w:rPr>
        <w:t>本意见自发布之日起实施。市政府《关于进一步加快我市服务业发展的若干意见》（惠府〔</w:t>
      </w:r>
      <w:r>
        <w:rPr>
          <w:rFonts w:ascii="ˎ̥" w:hAnsi="ˎ̥" w:cs="Helvetica"/>
          <w:color w:val="333333"/>
          <w:lang/>
        </w:rPr>
        <w:t>2013</w:t>
      </w:r>
      <w:r>
        <w:rPr>
          <w:rFonts w:ascii="ˎ̥" w:hAnsi="ˎ̥" w:cs="Helvetica"/>
          <w:color w:val="333333"/>
          <w:lang/>
        </w:rPr>
        <w:t>〕</w:t>
      </w:r>
      <w:r>
        <w:rPr>
          <w:rFonts w:ascii="ˎ̥" w:hAnsi="ˎ̥" w:cs="Helvetica"/>
          <w:color w:val="333333"/>
          <w:lang/>
        </w:rPr>
        <w:t>13</w:t>
      </w:r>
      <w:r>
        <w:rPr>
          <w:rFonts w:ascii="ˎ̥" w:hAnsi="ˎ̥" w:cs="Helvetica"/>
          <w:color w:val="333333"/>
          <w:lang/>
        </w:rPr>
        <w:t>号）同时废止。</w:t>
      </w:r>
    </w:p>
    <w:p w:rsidR="00000000" w:rsidRDefault="00B01CD2">
      <w:pPr>
        <w:spacing w:line="480" w:lineRule="auto"/>
        <w:divId w:val="1113358138"/>
        <w:rPr>
          <w:rFonts w:ascii="ˎ̥" w:hAnsi="ˎ̥" w:cs="Helvetica"/>
          <w:color w:val="333333"/>
          <w:sz w:val="19"/>
          <w:szCs w:val="19"/>
          <w:lang/>
        </w:rPr>
      </w:pPr>
      <w:r>
        <w:rPr>
          <w:rFonts w:ascii="ˎ̥" w:hAnsi="ˎ̥" w:cs="Helvetica"/>
          <w:color w:val="333333"/>
          <w:sz w:val="19"/>
          <w:szCs w:val="19"/>
          <w:lang/>
        </w:rPr>
        <w:t> </w:t>
      </w:r>
    </w:p>
    <w:p w:rsidR="00000000" w:rsidRDefault="00B01CD2">
      <w:pPr>
        <w:spacing w:line="480" w:lineRule="auto"/>
        <w:divId w:val="24916273"/>
        <w:rPr>
          <w:rFonts w:ascii="ˎ̥" w:hAnsi="ˎ̥" w:cs="Helvetica"/>
          <w:color w:val="333333"/>
          <w:sz w:val="19"/>
          <w:szCs w:val="19"/>
          <w:lang/>
        </w:rPr>
      </w:pPr>
      <w:r>
        <w:rPr>
          <w:rFonts w:ascii="ˎ̥" w:hAnsi="ˎ̥" w:cs="Helvetica"/>
          <w:color w:val="333333"/>
          <w:sz w:val="19"/>
          <w:szCs w:val="19"/>
          <w:lang/>
        </w:rPr>
        <w:t> </w:t>
      </w:r>
    </w:p>
    <w:p w:rsidR="00000000" w:rsidRDefault="00B01CD2">
      <w:pPr>
        <w:spacing w:line="480" w:lineRule="auto"/>
        <w:divId w:val="965236202"/>
        <w:rPr>
          <w:rFonts w:ascii="ˎ̥" w:hAnsi="ˎ̥" w:cs="Helvetica"/>
          <w:color w:val="333333"/>
          <w:sz w:val="19"/>
          <w:szCs w:val="19"/>
          <w:lang/>
        </w:rPr>
      </w:pPr>
      <w:r>
        <w:rPr>
          <w:rFonts w:ascii="ˎ̥" w:hAnsi="ˎ̥" w:cs="Helvetica"/>
          <w:color w:val="333333"/>
          <w:lang/>
        </w:rPr>
        <w:t> </w:t>
      </w:r>
    </w:p>
    <w:p w:rsidR="00000000" w:rsidRDefault="00B01CD2">
      <w:pPr>
        <w:spacing w:line="480" w:lineRule="auto"/>
        <w:jc w:val="right"/>
        <w:divId w:val="574903801"/>
        <w:rPr>
          <w:rFonts w:ascii="ˎ̥" w:hAnsi="ˎ̥" w:cs="Helvetica" w:hint="eastAsia"/>
          <w:color w:val="333333"/>
          <w:sz w:val="19"/>
          <w:szCs w:val="19"/>
          <w:lang/>
        </w:rPr>
      </w:pPr>
      <w:r>
        <w:rPr>
          <w:rFonts w:ascii="ˎ̥" w:hAnsi="ˎ̥" w:cs="Helvetica"/>
          <w:color w:val="333333"/>
          <w:lang/>
        </w:rPr>
        <w:t>惠州市人民政</w:t>
      </w:r>
      <w:r>
        <w:rPr>
          <w:rFonts w:ascii="ˎ̥" w:hAnsi="ˎ̥" w:cs="Helvetica"/>
          <w:color w:val="333333"/>
          <w:lang/>
        </w:rPr>
        <w:t>府</w:t>
      </w:r>
      <w:r>
        <w:rPr>
          <w:rFonts w:ascii="ˎ̥" w:hAnsi="ˎ̥" w:cs="Helvetica"/>
          <w:color w:val="333333"/>
          <w:lang/>
        </w:rPr>
        <w:br/>
        <w:t>2016</w:t>
      </w:r>
      <w:r>
        <w:rPr>
          <w:rFonts w:ascii="ˎ̥" w:hAnsi="ˎ̥" w:cs="Helvetica"/>
          <w:color w:val="333333"/>
          <w:lang/>
        </w:rPr>
        <w:t>年</w:t>
      </w:r>
      <w:r>
        <w:rPr>
          <w:rFonts w:ascii="ˎ̥" w:hAnsi="ˎ̥" w:cs="Helvetica"/>
          <w:color w:val="333333"/>
          <w:lang/>
        </w:rPr>
        <w:t>9</w:t>
      </w:r>
      <w:r>
        <w:rPr>
          <w:rFonts w:ascii="ˎ̥" w:hAnsi="ˎ̥" w:cs="Helvetica"/>
          <w:color w:val="333333"/>
          <w:lang/>
        </w:rPr>
        <w:t>月</w:t>
      </w:r>
      <w:r>
        <w:rPr>
          <w:rFonts w:ascii="ˎ̥" w:hAnsi="ˎ̥" w:cs="Helvetica"/>
          <w:color w:val="333333"/>
          <w:lang/>
        </w:rPr>
        <w:t>23</w:t>
      </w:r>
      <w:r>
        <w:rPr>
          <w:rFonts w:ascii="ˎ̥" w:hAnsi="ˎ̥" w:cs="Helvetica"/>
          <w:color w:val="333333"/>
          <w:lang/>
        </w:rPr>
        <w:t>日</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ˎ̥">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A96EE0"/>
    <w:rsid w:val="00A96EE0"/>
    <w:rsid w:val="00B01C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1">
    <w:name w:val="heading 1"/>
    <w:basedOn w:val="a"/>
    <w:link w:val="1Char"/>
    <w:uiPriority w:val="9"/>
    <w:qFormat/>
    <w:pPr>
      <w:spacing w:before="100" w:beforeAutospacing="1" w:after="100" w:afterAutospacing="1"/>
      <w:outlineLvl w:val="0"/>
    </w:pPr>
    <w:rPr>
      <w:kern w:val="36"/>
      <w:sz w:val="22"/>
      <w:szCs w:val="22"/>
    </w:rPr>
  </w:style>
  <w:style w:type="paragraph" w:styleId="2">
    <w:name w:val="heading 2"/>
    <w:basedOn w:val="a"/>
    <w:link w:val="2Char"/>
    <w:uiPriority w:val="9"/>
    <w:qFormat/>
    <w:pPr>
      <w:spacing w:before="100" w:beforeAutospacing="1" w:after="100" w:afterAutospacing="1"/>
      <w:outlineLvl w:val="1"/>
    </w:pPr>
    <w:rPr>
      <w:sz w:val="20"/>
      <w:szCs w:val="20"/>
    </w:rPr>
  </w:style>
  <w:style w:type="paragraph" w:styleId="3">
    <w:name w:val="heading 3"/>
    <w:basedOn w:val="a"/>
    <w:link w:val="3Char"/>
    <w:uiPriority w:val="9"/>
    <w:qFormat/>
    <w:pPr>
      <w:spacing w:before="100" w:beforeAutospacing="1" w:after="100" w:afterAutospacing="1"/>
      <w:outlineLvl w:val="2"/>
    </w:pPr>
    <w:rPr>
      <w:sz w:val="19"/>
      <w:szCs w:val="19"/>
    </w:rPr>
  </w:style>
  <w:style w:type="paragraph" w:styleId="4">
    <w:name w:val="heading 4"/>
    <w:basedOn w:val="a"/>
    <w:link w:val="4Char"/>
    <w:uiPriority w:val="9"/>
    <w:qFormat/>
    <w:pPr>
      <w:spacing w:before="100" w:beforeAutospacing="1" w:after="100" w:afterAutospacing="1"/>
      <w:outlineLvl w:val="3"/>
    </w:pPr>
    <w:rPr>
      <w:sz w:val="19"/>
      <w:szCs w:val="19"/>
    </w:rPr>
  </w:style>
  <w:style w:type="paragraph" w:styleId="5">
    <w:name w:val="heading 5"/>
    <w:basedOn w:val="a"/>
    <w:link w:val="5Char"/>
    <w:uiPriority w:val="9"/>
    <w:qFormat/>
    <w:pPr>
      <w:spacing w:before="100" w:beforeAutospacing="1" w:after="100" w:afterAutospacing="1"/>
      <w:outlineLvl w:val="4"/>
    </w:pPr>
    <w:rPr>
      <w:color w:val="8F8F94"/>
      <w:sz w:val="17"/>
      <w:szCs w:val="17"/>
    </w:rPr>
  </w:style>
  <w:style w:type="paragraph" w:styleId="6">
    <w:name w:val="heading 6"/>
    <w:basedOn w:val="a"/>
    <w:link w:val="6Char"/>
    <w:uiPriority w:val="9"/>
    <w:qFormat/>
    <w:pPr>
      <w:spacing w:before="100" w:beforeAutospacing="1" w:after="100" w:afterAutospacing="1"/>
      <w:outlineLvl w:val="5"/>
    </w:pPr>
    <w:rPr>
      <w:color w:val="8F8F94"/>
      <w:sz w:val="14"/>
      <w:szCs w:val="1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666666"/>
      <w:u w:val="none"/>
      <w:effect w:val="none"/>
      <w:shd w:val="clear" w:color="auto" w:fill="auto"/>
    </w:rPr>
  </w:style>
  <w:style w:type="character" w:styleId="a4">
    <w:name w:val="FollowedHyperlink"/>
    <w:basedOn w:val="a0"/>
    <w:uiPriority w:val="99"/>
    <w:semiHidden/>
    <w:unhideWhenUsed/>
    <w:rPr>
      <w:strike w:val="0"/>
      <w:dstrike w:val="0"/>
      <w:color w:val="666666"/>
      <w:u w:val="none"/>
      <w:effect w:val="none"/>
      <w:shd w:val="clear" w:color="auto" w:fill="auto"/>
    </w:rPr>
  </w:style>
  <w:style w:type="character" w:customStyle="1" w:styleId="1Char">
    <w:name w:val="标题 1 Char"/>
    <w:basedOn w:val="a0"/>
    <w:link w:val="1"/>
    <w:uiPriority w:val="9"/>
    <w:rPr>
      <w:rFonts w:ascii="宋体" w:eastAsia="宋体" w:hAnsi="宋体" w:cs="宋体"/>
      <w:b/>
      <w:bCs/>
      <w:kern w:val="44"/>
      <w:sz w:val="44"/>
      <w:szCs w:val="44"/>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customStyle="1" w:styleId="5Char">
    <w:name w:val="标题 5 Char"/>
    <w:basedOn w:val="a0"/>
    <w:link w:val="5"/>
    <w:uiPriority w:val="9"/>
    <w:semiHidden/>
    <w:rPr>
      <w:rFonts w:ascii="宋体" w:eastAsia="宋体" w:hAnsi="宋体" w:cs="宋体"/>
      <w:b/>
      <w:bCs/>
      <w:sz w:val="28"/>
      <w:szCs w:val="28"/>
    </w:rPr>
  </w:style>
  <w:style w:type="character" w:customStyle="1" w:styleId="6Char">
    <w:name w:val="标题 6 Char"/>
    <w:basedOn w:val="a0"/>
    <w:link w:val="6"/>
    <w:uiPriority w:val="9"/>
    <w:semiHidden/>
    <w:rPr>
      <w:rFonts w:asciiTheme="majorHAnsi" w:eastAsiaTheme="majorEastAsia" w:hAnsiTheme="majorHAnsi" w:cstheme="majorBidi"/>
      <w:b/>
      <w:bCs/>
      <w:sz w:val="24"/>
      <w:szCs w:val="24"/>
    </w:rPr>
  </w:style>
  <w:style w:type="character" w:styleId="a5">
    <w:name w:val="Strong"/>
    <w:basedOn w:val="a0"/>
    <w:uiPriority w:val="22"/>
    <w:qFormat/>
    <w:rPr>
      <w:b/>
      <w:bCs/>
    </w:rPr>
  </w:style>
  <w:style w:type="paragraph" w:styleId="a6">
    <w:name w:val="Normal (Web)"/>
    <w:basedOn w:val="a"/>
    <w:uiPriority w:val="99"/>
    <w:semiHidden/>
    <w:unhideWhenUsed/>
  </w:style>
  <w:style w:type="paragraph" w:customStyle="1" w:styleId="vertical-middle">
    <w:name w:val="vertical-middle"/>
    <w:basedOn w:val="a"/>
    <w:pPr>
      <w:textAlignment w:val="center"/>
    </w:pPr>
  </w:style>
  <w:style w:type="paragraph" w:customStyle="1" w:styleId="display-block">
    <w:name w:val="display-block"/>
    <w:basedOn w:val="a"/>
  </w:style>
  <w:style w:type="paragraph" w:customStyle="1" w:styleId="col-item-1">
    <w:name w:val="col-item-1"/>
    <w:basedOn w:val="a"/>
  </w:style>
  <w:style w:type="paragraph" w:customStyle="1" w:styleId="col-item-2">
    <w:name w:val="col-item-2"/>
    <w:basedOn w:val="a"/>
  </w:style>
  <w:style w:type="paragraph" w:customStyle="1" w:styleId="col-item-3">
    <w:name w:val="col-item-3"/>
    <w:basedOn w:val="a"/>
  </w:style>
  <w:style w:type="paragraph" w:customStyle="1" w:styleId="col-item-4">
    <w:name w:val="col-item-4"/>
    <w:basedOn w:val="a"/>
  </w:style>
  <w:style w:type="paragraph" w:customStyle="1" w:styleId="col-item-5">
    <w:name w:val="col-item-5"/>
    <w:basedOn w:val="a"/>
  </w:style>
  <w:style w:type="paragraph" w:customStyle="1" w:styleId="col-item-6">
    <w:name w:val="col-item-6"/>
    <w:basedOn w:val="a"/>
  </w:style>
  <w:style w:type="paragraph" w:customStyle="1" w:styleId="col-item-7">
    <w:name w:val="col-item-7"/>
    <w:basedOn w:val="a"/>
  </w:style>
  <w:style w:type="paragraph" w:customStyle="1" w:styleId="col-item-8">
    <w:name w:val="col-item-8"/>
    <w:basedOn w:val="a"/>
  </w:style>
  <w:style w:type="paragraph" w:customStyle="1" w:styleId="col-item-9">
    <w:name w:val="col-item-9"/>
    <w:basedOn w:val="a"/>
  </w:style>
  <w:style w:type="paragraph" w:customStyle="1" w:styleId="col-item-10">
    <w:name w:val="col-item-10"/>
    <w:basedOn w:val="a"/>
  </w:style>
  <w:style w:type="paragraph" w:customStyle="1" w:styleId="col-item-11">
    <w:name w:val="col-item-11"/>
    <w:basedOn w:val="a"/>
  </w:style>
  <w:style w:type="paragraph" w:customStyle="1" w:styleId="col-item-12">
    <w:name w:val="col-item-12"/>
    <w:basedOn w:val="a"/>
  </w:style>
  <w:style w:type="paragraph" w:customStyle="1" w:styleId="flex-offset-1">
    <w:name w:val="flex-offset-1"/>
    <w:basedOn w:val="a"/>
    <w:pPr>
      <w:ind w:left="952"/>
    </w:pPr>
  </w:style>
  <w:style w:type="paragraph" w:customStyle="1" w:styleId="flex-offset-2">
    <w:name w:val="flex-offset-2"/>
    <w:basedOn w:val="a"/>
    <w:pPr>
      <w:ind w:left="1904"/>
    </w:pPr>
  </w:style>
  <w:style w:type="paragraph" w:customStyle="1" w:styleId="flex-offset-3">
    <w:name w:val="flex-offset-3"/>
    <w:basedOn w:val="a"/>
    <w:pPr>
      <w:ind w:left="2976"/>
    </w:pPr>
  </w:style>
  <w:style w:type="paragraph" w:customStyle="1" w:styleId="flex-offset-4">
    <w:name w:val="flex-offset-4"/>
    <w:basedOn w:val="a"/>
    <w:pPr>
      <w:ind w:left="3928"/>
    </w:pPr>
  </w:style>
  <w:style w:type="paragraph" w:customStyle="1" w:styleId="flex-offset-5">
    <w:name w:val="flex-offset-5"/>
    <w:basedOn w:val="a"/>
    <w:pPr>
      <w:ind w:left="4881"/>
    </w:pPr>
  </w:style>
  <w:style w:type="paragraph" w:customStyle="1" w:styleId="flex-offset-6">
    <w:name w:val="flex-offset-6"/>
    <w:basedOn w:val="a"/>
    <w:pPr>
      <w:ind w:left="5953"/>
    </w:pPr>
  </w:style>
  <w:style w:type="paragraph" w:customStyle="1" w:styleId="flex-offset-7">
    <w:name w:val="flex-offset-7"/>
    <w:basedOn w:val="a"/>
    <w:pPr>
      <w:ind w:left="6905"/>
    </w:pPr>
  </w:style>
  <w:style w:type="paragraph" w:customStyle="1" w:styleId="flex-offset-8">
    <w:name w:val="flex-offset-8"/>
    <w:basedOn w:val="a"/>
    <w:pPr>
      <w:ind w:left="7857"/>
    </w:pPr>
  </w:style>
  <w:style w:type="paragraph" w:customStyle="1" w:styleId="flex-offset-9">
    <w:name w:val="flex-offset-9"/>
    <w:basedOn w:val="a"/>
    <w:pPr>
      <w:ind w:left="8929"/>
    </w:pPr>
  </w:style>
  <w:style w:type="paragraph" w:customStyle="1" w:styleId="flex-offset-10">
    <w:name w:val="flex-offset-10"/>
    <w:basedOn w:val="a"/>
    <w:pPr>
      <w:ind w:left="9881"/>
    </w:pPr>
  </w:style>
  <w:style w:type="paragraph" w:customStyle="1" w:styleId="flex-offset-11">
    <w:name w:val="flex-offset-11"/>
    <w:basedOn w:val="a"/>
    <w:pPr>
      <w:ind w:left="10834"/>
    </w:pPr>
  </w:style>
  <w:style w:type="paragraph" w:customStyle="1" w:styleId="flex-offset-12">
    <w:name w:val="flex-offset-12"/>
    <w:basedOn w:val="a"/>
    <w:pPr>
      <w:ind w:left="11906"/>
    </w:pPr>
  </w:style>
  <w:style w:type="paragraph" w:customStyle="1" w:styleId="clearfix">
    <w:name w:val="clearfix"/>
    <w:basedOn w:val="a"/>
  </w:style>
  <w:style w:type="paragraph" w:customStyle="1" w:styleId="text-center">
    <w:name w:val="text-center"/>
    <w:basedOn w:val="a"/>
    <w:pPr>
      <w:jc w:val="center"/>
    </w:pPr>
  </w:style>
  <w:style w:type="paragraph" w:customStyle="1" w:styleId="text-left">
    <w:name w:val="text-left"/>
    <w:basedOn w:val="a"/>
  </w:style>
  <w:style w:type="paragraph" w:customStyle="1" w:styleId="text-right">
    <w:name w:val="text-right"/>
    <w:basedOn w:val="a"/>
    <w:pPr>
      <w:jc w:val="right"/>
    </w:pPr>
  </w:style>
  <w:style w:type="paragraph" w:customStyle="1" w:styleId="ellipsis-1">
    <w:name w:val="ellipsis-1"/>
    <w:basedOn w:val="a"/>
  </w:style>
  <w:style w:type="paragraph" w:customStyle="1" w:styleId="none-border">
    <w:name w:val="none-border"/>
    <w:basedOn w:val="a"/>
  </w:style>
  <w:style w:type="paragraph" w:customStyle="1" w:styleId="none-text-decoration">
    <w:name w:val="none-text-decoration"/>
    <w:basedOn w:val="a"/>
  </w:style>
  <w:style w:type="paragraph" w:customStyle="1" w:styleId="text-underline">
    <w:name w:val="text-underline"/>
    <w:basedOn w:val="a"/>
    <w:rPr>
      <w:u w:val="single"/>
    </w:rPr>
  </w:style>
  <w:style w:type="paragraph" w:customStyle="1" w:styleId="center-block">
    <w:name w:val="center-block"/>
    <w:basedOn w:val="a"/>
  </w:style>
  <w:style w:type="paragraph" w:customStyle="1" w:styleId="margin-0">
    <w:name w:val="margin-0"/>
    <w:basedOn w:val="a"/>
  </w:style>
  <w:style w:type="paragraph" w:customStyle="1" w:styleId="margin-5">
    <w:name w:val="margin-5"/>
    <w:basedOn w:val="a"/>
    <w:pPr>
      <w:spacing w:before="60" w:after="60"/>
      <w:ind w:left="60" w:right="60"/>
    </w:pPr>
  </w:style>
  <w:style w:type="paragraph" w:customStyle="1" w:styleId="margin-10">
    <w:name w:val="margin-10"/>
    <w:basedOn w:val="a"/>
    <w:pPr>
      <w:spacing w:before="120" w:after="120"/>
      <w:ind w:left="120" w:right="120"/>
    </w:pPr>
  </w:style>
  <w:style w:type="paragraph" w:customStyle="1" w:styleId="margin-15">
    <w:name w:val="margin-15"/>
    <w:basedOn w:val="a"/>
    <w:pPr>
      <w:spacing w:before="180" w:after="180"/>
      <w:ind w:left="180" w:right="180"/>
    </w:pPr>
  </w:style>
  <w:style w:type="paragraph" w:customStyle="1" w:styleId="margin-t-0">
    <w:name w:val="margin-t-0"/>
    <w:basedOn w:val="a"/>
  </w:style>
  <w:style w:type="paragraph" w:customStyle="1" w:styleId="margin-t-5">
    <w:name w:val="margin-t-5"/>
    <w:basedOn w:val="a"/>
    <w:pPr>
      <w:spacing w:before="60"/>
    </w:pPr>
  </w:style>
  <w:style w:type="paragraph" w:customStyle="1" w:styleId="margin-t-10">
    <w:name w:val="margin-t-10"/>
    <w:basedOn w:val="a"/>
    <w:pPr>
      <w:spacing w:before="120"/>
    </w:pPr>
  </w:style>
  <w:style w:type="paragraph" w:customStyle="1" w:styleId="margin-t-15">
    <w:name w:val="margin-t-15"/>
    <w:basedOn w:val="a"/>
    <w:pPr>
      <w:spacing w:before="180"/>
    </w:pPr>
  </w:style>
  <w:style w:type="paragraph" w:customStyle="1" w:styleId="margin-l-0">
    <w:name w:val="margin-l-0"/>
    <w:basedOn w:val="a"/>
  </w:style>
  <w:style w:type="paragraph" w:customStyle="1" w:styleId="margin-l-5">
    <w:name w:val="margin-l-5"/>
    <w:basedOn w:val="a"/>
    <w:pPr>
      <w:ind w:left="60"/>
    </w:pPr>
  </w:style>
  <w:style w:type="paragraph" w:customStyle="1" w:styleId="margin-l-10">
    <w:name w:val="margin-l-10"/>
    <w:basedOn w:val="a"/>
    <w:pPr>
      <w:ind w:left="120"/>
    </w:pPr>
  </w:style>
  <w:style w:type="paragraph" w:customStyle="1" w:styleId="margin-l-15">
    <w:name w:val="margin-l-15"/>
    <w:basedOn w:val="a"/>
    <w:pPr>
      <w:ind w:left="180"/>
    </w:pPr>
  </w:style>
  <w:style w:type="paragraph" w:customStyle="1" w:styleId="margin-r-0">
    <w:name w:val="margin-r-0"/>
    <w:basedOn w:val="a"/>
  </w:style>
  <w:style w:type="paragraph" w:customStyle="1" w:styleId="margin-r-5">
    <w:name w:val="margin-r-5"/>
    <w:basedOn w:val="a"/>
    <w:pPr>
      <w:ind w:right="60"/>
    </w:pPr>
  </w:style>
  <w:style w:type="paragraph" w:customStyle="1" w:styleId="margin-r-10">
    <w:name w:val="margin-r-10"/>
    <w:basedOn w:val="a"/>
    <w:pPr>
      <w:ind w:right="120"/>
    </w:pPr>
  </w:style>
  <w:style w:type="paragraph" w:customStyle="1" w:styleId="margin-r-15">
    <w:name w:val="margin-r-15"/>
    <w:basedOn w:val="a"/>
    <w:pPr>
      <w:ind w:right="180"/>
    </w:pPr>
  </w:style>
  <w:style w:type="paragraph" w:customStyle="1" w:styleId="margin-b-0">
    <w:name w:val="margin-b-0"/>
    <w:basedOn w:val="a"/>
  </w:style>
  <w:style w:type="paragraph" w:customStyle="1" w:styleId="margin-b-5">
    <w:name w:val="margin-b-5"/>
    <w:basedOn w:val="a"/>
    <w:pPr>
      <w:spacing w:after="60"/>
    </w:pPr>
  </w:style>
  <w:style w:type="paragraph" w:customStyle="1" w:styleId="margin-b-10">
    <w:name w:val="margin-b-10"/>
    <w:basedOn w:val="a"/>
    <w:pPr>
      <w:spacing w:after="120"/>
    </w:pPr>
  </w:style>
  <w:style w:type="paragraph" w:customStyle="1" w:styleId="margin-b-15">
    <w:name w:val="margin-b-15"/>
    <w:basedOn w:val="a"/>
    <w:pPr>
      <w:spacing w:after="180"/>
    </w:pPr>
  </w:style>
  <w:style w:type="paragraph" w:customStyle="1" w:styleId="padded-5">
    <w:name w:val="padded-5"/>
    <w:basedOn w:val="a"/>
  </w:style>
  <w:style w:type="paragraph" w:customStyle="1" w:styleId="padded-10">
    <w:name w:val="padded-10"/>
    <w:basedOn w:val="a"/>
  </w:style>
  <w:style w:type="paragraph" w:customStyle="1" w:styleId="padded-15">
    <w:name w:val="padded-15"/>
    <w:basedOn w:val="a"/>
  </w:style>
  <w:style w:type="paragraph" w:customStyle="1" w:styleId="padded-t-0">
    <w:name w:val="padded-t-0"/>
    <w:basedOn w:val="a"/>
  </w:style>
  <w:style w:type="paragraph" w:customStyle="1" w:styleId="padded-t-5">
    <w:name w:val="padded-t-5"/>
    <w:basedOn w:val="a"/>
  </w:style>
  <w:style w:type="paragraph" w:customStyle="1" w:styleId="padded-t-10">
    <w:name w:val="padded-t-10"/>
    <w:basedOn w:val="a"/>
  </w:style>
  <w:style w:type="paragraph" w:customStyle="1" w:styleId="padded-t-15">
    <w:name w:val="padded-t-15"/>
    <w:basedOn w:val="a"/>
  </w:style>
  <w:style w:type="paragraph" w:customStyle="1" w:styleId="padded-l-5">
    <w:name w:val="padded-l-5"/>
    <w:basedOn w:val="a"/>
  </w:style>
  <w:style w:type="paragraph" w:customStyle="1" w:styleId="padded-l-10">
    <w:name w:val="padded-l-10"/>
    <w:basedOn w:val="a"/>
  </w:style>
  <w:style w:type="paragraph" w:customStyle="1" w:styleId="padded-l-15">
    <w:name w:val="padded-l-15"/>
    <w:basedOn w:val="a"/>
  </w:style>
  <w:style w:type="paragraph" w:customStyle="1" w:styleId="padded-r-5">
    <w:name w:val="padded-r-5"/>
    <w:basedOn w:val="a"/>
  </w:style>
  <w:style w:type="paragraph" w:customStyle="1" w:styleId="padded-r-10">
    <w:name w:val="padded-r-10"/>
    <w:basedOn w:val="a"/>
  </w:style>
  <w:style w:type="paragraph" w:customStyle="1" w:styleId="padded-r-15">
    <w:name w:val="padded-r-15"/>
    <w:basedOn w:val="a"/>
  </w:style>
  <w:style w:type="paragraph" w:customStyle="1" w:styleId="padded-b-5">
    <w:name w:val="padded-b-5"/>
    <w:basedOn w:val="a"/>
  </w:style>
  <w:style w:type="paragraph" w:customStyle="1" w:styleId="padded-b-10">
    <w:name w:val="padded-b-10"/>
    <w:basedOn w:val="a"/>
  </w:style>
  <w:style w:type="paragraph" w:customStyle="1" w:styleId="padded-b-15">
    <w:name w:val="padded-b-15"/>
    <w:basedOn w:val="a"/>
  </w:style>
  <w:style w:type="paragraph" w:customStyle="1" w:styleId="m-linethrough">
    <w:name w:val="m-linethrough"/>
    <w:basedOn w:val="a"/>
    <w:rPr>
      <w:strike/>
    </w:rPr>
  </w:style>
  <w:style w:type="paragraph" w:customStyle="1" w:styleId="m-bg-dark">
    <w:name w:val="m-bg-dark"/>
    <w:basedOn w:val="a"/>
    <w:pPr>
      <w:shd w:val="clear" w:color="auto" w:fill="EEEEEE"/>
    </w:pPr>
  </w:style>
  <w:style w:type="paragraph" w:customStyle="1" w:styleId="vertical-bar-yellow">
    <w:name w:val="vertical-bar-yellow"/>
    <w:basedOn w:val="a"/>
  </w:style>
  <w:style w:type="paragraph" w:customStyle="1" w:styleId="m-nav-bg">
    <w:name w:val="m-nav-bg"/>
    <w:basedOn w:val="a"/>
  </w:style>
  <w:style w:type="paragraph" w:customStyle="1" w:styleId="ranklist-bg">
    <w:name w:val="ranklist-bg"/>
    <w:basedOn w:val="a"/>
  </w:style>
  <w:style w:type="paragraph" w:customStyle="1" w:styleId="m-welcome-bolck">
    <w:name w:val="m-welcome-bolck"/>
    <w:basedOn w:val="a"/>
  </w:style>
  <w:style w:type="paragraph" w:customStyle="1" w:styleId="m-welcome-title">
    <w:name w:val="m-welcome-title"/>
    <w:basedOn w:val="a"/>
  </w:style>
  <w:style w:type="paragraph" w:customStyle="1" w:styleId="m-history-content">
    <w:name w:val="m-history-content"/>
    <w:basedOn w:val="a"/>
  </w:style>
  <w:style w:type="paragraph" w:customStyle="1" w:styleId="text-white">
    <w:name w:val="text-white"/>
    <w:basedOn w:val="a"/>
    <w:rPr>
      <w:color w:val="FFFFFF"/>
    </w:rPr>
  </w:style>
  <w:style w:type="paragraph" w:customStyle="1" w:styleId="text-yellow">
    <w:name w:val="text-yellow"/>
    <w:basedOn w:val="a"/>
    <w:rPr>
      <w:color w:val="FFDD00"/>
    </w:rPr>
  </w:style>
  <w:style w:type="paragraph" w:customStyle="1" w:styleId="text-danger">
    <w:name w:val="text-danger"/>
    <w:basedOn w:val="a"/>
    <w:rPr>
      <w:color w:val="FF0000"/>
    </w:rPr>
  </w:style>
  <w:style w:type="paragraph" w:customStyle="1" w:styleId="text-grey">
    <w:name w:val="text-grey"/>
    <w:basedOn w:val="a"/>
    <w:rPr>
      <w:color w:val="9D9D9D"/>
    </w:rPr>
  </w:style>
  <w:style w:type="paragraph" w:customStyle="1" w:styleId="bg-yellow">
    <w:name w:val="bg-yellow"/>
    <w:basedOn w:val="a"/>
    <w:pPr>
      <w:shd w:val="clear" w:color="auto" w:fill="FFDD00"/>
    </w:pPr>
  </w:style>
  <w:style w:type="paragraph" w:customStyle="1" w:styleId="bg-grey">
    <w:name w:val="bg-grey"/>
    <w:basedOn w:val="a"/>
    <w:pPr>
      <w:shd w:val="clear" w:color="auto" w:fill="F5F5F5"/>
    </w:pPr>
  </w:style>
  <w:style w:type="paragraph" w:customStyle="1" w:styleId="bg-orange">
    <w:name w:val="bg-orange"/>
    <w:basedOn w:val="a"/>
    <w:pPr>
      <w:shd w:val="clear" w:color="auto" w:fill="FF6600"/>
    </w:pPr>
  </w:style>
  <w:style w:type="paragraph" w:customStyle="1" w:styleId="bg-blue">
    <w:name w:val="bg-blue"/>
    <w:basedOn w:val="a"/>
    <w:pPr>
      <w:shd w:val="clear" w:color="auto" w:fill="0498BD"/>
    </w:pPr>
  </w:style>
  <w:style w:type="paragraph" w:customStyle="1" w:styleId="bg-blue2">
    <w:name w:val="bg-blue2"/>
    <w:basedOn w:val="a"/>
    <w:pPr>
      <w:shd w:val="clear" w:color="auto" w:fill="2281D5"/>
    </w:pPr>
  </w:style>
  <w:style w:type="paragraph" w:customStyle="1" w:styleId="bg-red">
    <w:name w:val="bg-red"/>
    <w:basedOn w:val="a"/>
    <w:pPr>
      <w:shd w:val="clear" w:color="auto" w:fill="E24444"/>
    </w:pPr>
  </w:style>
  <w:style w:type="paragraph" w:customStyle="1" w:styleId="bg-pink">
    <w:name w:val="bg-pink"/>
    <w:basedOn w:val="a"/>
    <w:pPr>
      <w:shd w:val="clear" w:color="auto" w:fill="FF9999"/>
    </w:pPr>
  </w:style>
  <w:style w:type="paragraph" w:customStyle="1" w:styleId="bg-lightgreen">
    <w:name w:val="bg-lightgreen"/>
    <w:basedOn w:val="a"/>
    <w:pPr>
      <w:shd w:val="clear" w:color="auto" w:fill="66CCCC"/>
    </w:pPr>
  </w:style>
  <w:style w:type="paragraph" w:customStyle="1" w:styleId="bg-grassgreen">
    <w:name w:val="bg-grassgreen"/>
    <w:basedOn w:val="a"/>
    <w:pPr>
      <w:shd w:val="clear" w:color="auto" w:fill="ACC142"/>
    </w:pPr>
  </w:style>
  <w:style w:type="paragraph" w:customStyle="1" w:styleId="bg-orangeyellow">
    <w:name w:val="bg-orangeyellow"/>
    <w:basedOn w:val="a"/>
    <w:pPr>
      <w:shd w:val="clear" w:color="auto" w:fill="FD9944"/>
    </w:pPr>
  </w:style>
  <w:style w:type="paragraph" w:customStyle="1" w:styleId="bg-skyblue">
    <w:name w:val="bg-skyblue"/>
    <w:basedOn w:val="a"/>
    <w:pPr>
      <w:shd w:val="clear" w:color="auto" w:fill="E6F2FF"/>
    </w:pPr>
  </w:style>
  <w:style w:type="paragraph" w:customStyle="1" w:styleId="border-l">
    <w:name w:val="border-l"/>
    <w:basedOn w:val="a"/>
    <w:pPr>
      <w:pBdr>
        <w:left w:val="single" w:sz="12" w:space="0" w:color="666666"/>
      </w:pBdr>
    </w:pPr>
  </w:style>
  <w:style w:type="paragraph" w:customStyle="1" w:styleId="border-1">
    <w:name w:val="border-1"/>
    <w:basedOn w:val="a"/>
    <w:pPr>
      <w:pBdr>
        <w:top w:val="single" w:sz="4" w:space="0" w:color="D1D1D1"/>
        <w:left w:val="single" w:sz="4" w:space="0" w:color="D1D1D1"/>
        <w:bottom w:val="single" w:sz="4" w:space="0" w:color="D1D1D1"/>
        <w:right w:val="single" w:sz="4" w:space="0" w:color="D1D1D1"/>
      </w:pBdr>
    </w:pPr>
  </w:style>
  <w:style w:type="paragraph" w:customStyle="1" w:styleId="newslist">
    <w:name w:val="news_list"/>
    <w:basedOn w:val="a"/>
    <w:pPr>
      <w:spacing w:line="336" w:lineRule="atLeast"/>
    </w:pPr>
    <w:rPr>
      <w:sz w:val="18"/>
      <w:szCs w:val="18"/>
    </w:rPr>
  </w:style>
  <w:style w:type="paragraph" w:customStyle="1" w:styleId="newslist-ellipsis1">
    <w:name w:val="news_list-ellipsis1"/>
    <w:basedOn w:val="a"/>
  </w:style>
  <w:style w:type="paragraph" w:customStyle="1" w:styleId="newslist-ellipsis2">
    <w:name w:val="news_list-ellipsis2"/>
    <w:basedOn w:val="a"/>
  </w:style>
  <w:style w:type="paragraph" w:customStyle="1" w:styleId="conleft00">
    <w:name w:val="conleft00"/>
    <w:basedOn w:val="a"/>
  </w:style>
  <w:style w:type="paragraph" w:customStyle="1" w:styleId="conright00">
    <w:name w:val="conright00"/>
    <w:basedOn w:val="a"/>
  </w:style>
  <w:style w:type="paragraph" w:customStyle="1" w:styleId="hdzxftcont">
    <w:name w:val="hd_zxft_cont"/>
    <w:basedOn w:val="a"/>
    <w:pPr>
      <w:spacing w:line="336" w:lineRule="atLeast"/>
    </w:pPr>
    <w:rPr>
      <w:color w:val="666666"/>
    </w:rPr>
  </w:style>
  <w:style w:type="paragraph" w:customStyle="1" w:styleId="nav">
    <w:name w:val="nav"/>
    <w:basedOn w:val="a"/>
    <w:pPr>
      <w:shd w:val="clear" w:color="auto" w:fill="267FD3"/>
    </w:pPr>
  </w:style>
  <w:style w:type="paragraph" w:customStyle="1" w:styleId="nav-bar">
    <w:name w:val="nav-bar"/>
    <w:basedOn w:val="a"/>
  </w:style>
  <w:style w:type="paragraph" w:customStyle="1" w:styleId="container">
    <w:name w:val="container"/>
    <w:basedOn w:val="a"/>
    <w:pPr>
      <w:shd w:val="clear" w:color="auto" w:fill="FFFFFF"/>
    </w:pPr>
  </w:style>
  <w:style w:type="paragraph" w:customStyle="1" w:styleId="container-inside">
    <w:name w:val="container-inside"/>
    <w:basedOn w:val="a"/>
    <w:pPr>
      <w:shd w:val="clear" w:color="auto" w:fill="FFFFFF"/>
    </w:pPr>
  </w:style>
  <w:style w:type="paragraph" w:customStyle="1" w:styleId="container-inside-border-l">
    <w:name w:val="container-inside-border-l"/>
    <w:basedOn w:val="a"/>
    <w:pPr>
      <w:pBdr>
        <w:right w:val="single" w:sz="4" w:space="0" w:color="E2E2E2"/>
      </w:pBdr>
    </w:pPr>
  </w:style>
  <w:style w:type="paragraph" w:customStyle="1" w:styleId="right-side-title">
    <w:name w:val="right-side-title"/>
    <w:basedOn w:val="a"/>
    <w:pPr>
      <w:pBdr>
        <w:left w:val="single" w:sz="18" w:space="0" w:color="267FD3"/>
      </w:pBdr>
    </w:pPr>
  </w:style>
  <w:style w:type="paragraph" w:customStyle="1" w:styleId="container-inside-body">
    <w:name w:val="container-inside-body"/>
    <w:basedOn w:val="a"/>
    <w:pPr>
      <w:spacing w:after="120"/>
    </w:pPr>
  </w:style>
  <w:style w:type="paragraph" w:customStyle="1" w:styleId="container-inside-title">
    <w:name w:val="container-inside-title"/>
    <w:basedOn w:val="a"/>
    <w:pPr>
      <w:pBdr>
        <w:bottom w:val="single" w:sz="4" w:space="0" w:color="E2E2E2"/>
      </w:pBdr>
    </w:pPr>
    <w:rPr>
      <w:sz w:val="26"/>
      <w:szCs w:val="26"/>
    </w:rPr>
  </w:style>
  <w:style w:type="paragraph" w:customStyle="1" w:styleId="container-inside-titler">
    <w:name w:val="container-inside-titler"/>
    <w:basedOn w:val="a"/>
    <w:pPr>
      <w:spacing w:line="480" w:lineRule="atLeast"/>
    </w:pPr>
    <w:rPr>
      <w:color w:val="8F8F94"/>
      <w:sz w:val="19"/>
      <w:szCs w:val="19"/>
    </w:rPr>
  </w:style>
  <w:style w:type="paragraph" w:customStyle="1" w:styleId="inpsrh">
    <w:name w:val="inp_srh"/>
    <w:basedOn w:val="a"/>
    <w:pPr>
      <w:spacing w:line="360" w:lineRule="atLeast"/>
      <w:ind w:firstLine="720"/>
    </w:pPr>
  </w:style>
  <w:style w:type="paragraph" w:customStyle="1" w:styleId="btnsrh">
    <w:name w:val="btn_srh"/>
    <w:basedOn w:val="a"/>
    <w:pPr>
      <w:ind w:left="-360"/>
    </w:pPr>
    <w:rPr>
      <w:color w:val="FFFFFF"/>
    </w:rPr>
  </w:style>
  <w:style w:type="paragraph" w:customStyle="1" w:styleId="navmain">
    <w:name w:val="nav_main"/>
    <w:basedOn w:val="a"/>
  </w:style>
  <w:style w:type="paragraph" w:customStyle="1" w:styleId="footc">
    <w:name w:val="foot_c"/>
    <w:basedOn w:val="a"/>
    <w:pPr>
      <w:spacing w:before="360"/>
    </w:pPr>
  </w:style>
  <w:style w:type="paragraph" w:customStyle="1" w:styleId="footclogo">
    <w:name w:val="foot_c_logo"/>
    <w:basedOn w:val="a"/>
  </w:style>
  <w:style w:type="paragraph" w:customStyle="1" w:styleId="curpos">
    <w:name w:val="cur_pos"/>
    <w:basedOn w:val="a"/>
    <w:pPr>
      <w:pBdr>
        <w:bottom w:val="single" w:sz="4" w:space="0" w:color="EBEBEB"/>
      </w:pBdr>
      <w:shd w:val="clear" w:color="auto" w:fill="FFFFFF"/>
      <w:spacing w:line="540" w:lineRule="atLeast"/>
    </w:pPr>
  </w:style>
  <w:style w:type="paragraph" w:customStyle="1" w:styleId="info-container">
    <w:name w:val="info-container"/>
    <w:basedOn w:val="a"/>
    <w:pPr>
      <w:spacing w:after="312"/>
    </w:pPr>
  </w:style>
  <w:style w:type="paragraph" w:customStyle="1" w:styleId="infotitle">
    <w:name w:val="info_title"/>
    <w:basedOn w:val="a"/>
    <w:pPr>
      <w:spacing w:line="408" w:lineRule="atLeast"/>
      <w:jc w:val="center"/>
    </w:pPr>
    <w:rPr>
      <w:color w:val="BC1010"/>
      <w:sz w:val="29"/>
      <w:szCs w:val="29"/>
    </w:rPr>
  </w:style>
  <w:style w:type="paragraph" w:customStyle="1" w:styleId="infofbt">
    <w:name w:val="info_fbt"/>
    <w:basedOn w:val="a"/>
    <w:pPr>
      <w:shd w:val="clear" w:color="auto" w:fill="F5F5F5"/>
      <w:spacing w:line="288" w:lineRule="atLeast"/>
    </w:pPr>
    <w:rPr>
      <w:color w:val="666666"/>
    </w:rPr>
  </w:style>
  <w:style w:type="paragraph" w:customStyle="1" w:styleId="infocont">
    <w:name w:val="info_cont"/>
    <w:basedOn w:val="a"/>
    <w:pPr>
      <w:spacing w:line="480" w:lineRule="auto"/>
    </w:pPr>
    <w:rPr>
      <w:rFonts w:ascii="ˎ̥" w:hAnsi="ˎ̥"/>
      <w:color w:val="333333"/>
      <w:sz w:val="19"/>
      <w:szCs w:val="19"/>
    </w:rPr>
  </w:style>
  <w:style w:type="paragraph" w:customStyle="1" w:styleId="infobot">
    <w:name w:val="info_bot"/>
    <w:basedOn w:val="a"/>
    <w:pPr>
      <w:shd w:val="clear" w:color="auto" w:fill="F5F5F5"/>
      <w:spacing w:line="240" w:lineRule="atLeast"/>
      <w:jc w:val="center"/>
    </w:pPr>
    <w:rPr>
      <w:color w:val="757575"/>
    </w:rPr>
  </w:style>
  <w:style w:type="paragraph" w:customStyle="1" w:styleId="llcs">
    <w:name w:val="llcs"/>
    <w:basedOn w:val="a"/>
  </w:style>
  <w:style w:type="paragraph" w:customStyle="1" w:styleId="reci">
    <w:name w:val="reci"/>
    <w:basedOn w:val="a"/>
    <w:rPr>
      <w:sz w:val="22"/>
      <w:szCs w:val="22"/>
    </w:rPr>
  </w:style>
  <w:style w:type="paragraph" w:customStyle="1" w:styleId="zwxx">
    <w:name w:val="zwxx"/>
    <w:basedOn w:val="a"/>
    <w:pPr>
      <w:spacing w:line="336" w:lineRule="atLeast"/>
    </w:pPr>
    <w:rPr>
      <w:sz w:val="18"/>
      <w:szCs w:val="18"/>
    </w:rPr>
  </w:style>
  <w:style w:type="paragraph" w:customStyle="1" w:styleId="zfld">
    <w:name w:val="zfld"/>
    <w:basedOn w:val="a"/>
    <w:pPr>
      <w:spacing w:line="336" w:lineRule="atLeast"/>
    </w:pPr>
  </w:style>
  <w:style w:type="paragraph" w:customStyle="1" w:styleId="zcjd">
    <w:name w:val="zcjd"/>
    <w:basedOn w:val="a"/>
    <w:pPr>
      <w:spacing w:line="336" w:lineRule="atLeast"/>
    </w:pPr>
    <w:rPr>
      <w:color w:val="666666"/>
    </w:rPr>
  </w:style>
  <w:style w:type="paragraph" w:customStyle="1" w:styleId="zwgk-title">
    <w:name w:val="zwgk-title"/>
    <w:basedOn w:val="a"/>
    <w:pPr>
      <w:pBdr>
        <w:bottom w:val="single" w:sz="4" w:space="0" w:color="E2E2E2"/>
      </w:pBdr>
    </w:pPr>
  </w:style>
  <w:style w:type="paragraph" w:customStyle="1" w:styleId="zwgk-title-left">
    <w:name w:val="zwgk-title-left"/>
    <w:basedOn w:val="a"/>
    <w:pPr>
      <w:pBdr>
        <w:bottom w:val="single" w:sz="12" w:space="5" w:color="267FD3"/>
      </w:pBdr>
    </w:pPr>
    <w:rPr>
      <w:b/>
      <w:bCs/>
      <w:color w:val="267FD3"/>
      <w:sz w:val="26"/>
      <w:szCs w:val="26"/>
    </w:rPr>
  </w:style>
  <w:style w:type="paragraph" w:customStyle="1" w:styleId="sousuo">
    <w:name w:val="sousuo"/>
    <w:basedOn w:val="a"/>
  </w:style>
  <w:style w:type="paragraph" w:customStyle="1" w:styleId="button-szxx">
    <w:name w:val="button-szxx"/>
    <w:basedOn w:val="a"/>
    <w:pPr>
      <w:shd w:val="clear" w:color="auto" w:fill="F76F14"/>
      <w:ind w:left="120"/>
    </w:pPr>
    <w:rPr>
      <w:color w:val="FFFFFF"/>
      <w:sz w:val="12"/>
      <w:szCs w:val="12"/>
    </w:rPr>
  </w:style>
  <w:style w:type="paragraph" w:customStyle="1" w:styleId="wlwzleft">
    <w:name w:val="wlwz_left"/>
    <w:basedOn w:val="a"/>
  </w:style>
  <w:style w:type="paragraph" w:customStyle="1" w:styleId="wlwzright">
    <w:name w:val="wlwz_right"/>
    <w:basedOn w:val="a"/>
  </w:style>
  <w:style w:type="paragraph" w:customStyle="1" w:styleId="wlwzplb">
    <w:name w:val="wlwz_plb"/>
    <w:basedOn w:val="a"/>
  </w:style>
  <w:style w:type="paragraph" w:customStyle="1" w:styleId="wlwz-banner">
    <w:name w:val="wlwz-banner"/>
    <w:basedOn w:val="a"/>
  </w:style>
  <w:style w:type="paragraph" w:customStyle="1" w:styleId="dwhf-bg">
    <w:name w:val="dwhf-bg"/>
    <w:basedOn w:val="a"/>
  </w:style>
  <w:style w:type="paragraph" w:customStyle="1" w:styleId="wlwz-title1">
    <w:name w:val="wlwz-title1"/>
    <w:basedOn w:val="a"/>
    <w:pPr>
      <w:pBdr>
        <w:bottom w:val="single" w:sz="12" w:space="5" w:color="267FD3"/>
      </w:pBdr>
    </w:pPr>
    <w:rPr>
      <w:b/>
      <w:bCs/>
      <w:sz w:val="26"/>
      <w:szCs w:val="26"/>
    </w:rPr>
  </w:style>
  <w:style w:type="paragraph" w:customStyle="1" w:styleId="wlwz-title2">
    <w:name w:val="wlwz-title2"/>
    <w:basedOn w:val="a"/>
    <w:pPr>
      <w:pBdr>
        <w:bottom w:val="single" w:sz="12" w:space="3" w:color="267FD3"/>
      </w:pBdr>
      <w:shd w:val="clear" w:color="auto" w:fill="267FD3"/>
    </w:pPr>
  </w:style>
  <w:style w:type="paragraph" w:customStyle="1" w:styleId="wlwz-title2-left">
    <w:name w:val="wlwz-title2-left"/>
    <w:basedOn w:val="a"/>
    <w:rPr>
      <w:b/>
      <w:bCs/>
      <w:color w:val="FFFFFF"/>
      <w:sz w:val="26"/>
      <w:szCs w:val="26"/>
    </w:rPr>
  </w:style>
  <w:style w:type="paragraph" w:customStyle="1" w:styleId="wlwz-title2-right">
    <w:name w:val="wlwz-title2-right"/>
    <w:basedOn w:val="a"/>
    <w:pPr>
      <w:textAlignment w:val="center"/>
    </w:pPr>
    <w:rPr>
      <w:color w:val="FFFFFF"/>
      <w:sz w:val="17"/>
      <w:szCs w:val="17"/>
    </w:rPr>
  </w:style>
  <w:style w:type="paragraph" w:customStyle="1" w:styleId="rdgzlist">
    <w:name w:val="rdgz_list"/>
    <w:basedOn w:val="a"/>
    <w:pPr>
      <w:spacing w:line="336" w:lineRule="atLeast"/>
    </w:pPr>
    <w:rPr>
      <w:sz w:val="18"/>
      <w:szCs w:val="18"/>
    </w:rPr>
  </w:style>
  <w:style w:type="paragraph" w:customStyle="1" w:styleId="dwhf-text">
    <w:name w:val="dwhf-text"/>
    <w:basedOn w:val="a"/>
  </w:style>
  <w:style w:type="paragraph" w:customStyle="1" w:styleId="dwhf-text2">
    <w:name w:val="dwhf-text2"/>
    <w:basedOn w:val="a"/>
    <w:pPr>
      <w:jc w:val="center"/>
    </w:pPr>
  </w:style>
  <w:style w:type="paragraph" w:customStyle="1" w:styleId="paiming1">
    <w:name w:val="paiming1"/>
    <w:basedOn w:val="a"/>
  </w:style>
  <w:style w:type="paragraph" w:customStyle="1" w:styleId="paiming2">
    <w:name w:val="paiming2"/>
    <w:basedOn w:val="a"/>
  </w:style>
  <w:style w:type="paragraph" w:customStyle="1" w:styleId="paiming-text">
    <w:name w:val="paiming-text"/>
    <w:basedOn w:val="a"/>
    <w:rPr>
      <w:color w:val="FFFFFF"/>
    </w:rPr>
  </w:style>
  <w:style w:type="paragraph" w:customStyle="1" w:styleId="paiming-text1">
    <w:name w:val="paiming-text1"/>
    <w:basedOn w:val="a"/>
    <w:rPr>
      <w:color w:val="FFFFFF"/>
    </w:rPr>
  </w:style>
  <w:style w:type="paragraph" w:customStyle="1" w:styleId="mlhz-title">
    <w:name w:val="mlhz-title"/>
    <w:basedOn w:val="a"/>
    <w:pPr>
      <w:jc w:val="center"/>
    </w:pPr>
    <w:rPr>
      <w:b/>
      <w:bCs/>
      <w:color w:val="267FD3"/>
      <w:sz w:val="26"/>
      <w:szCs w:val="26"/>
    </w:rPr>
  </w:style>
  <w:style w:type="paragraph" w:customStyle="1" w:styleId="mlhz-slider">
    <w:name w:val="mlhz-slider"/>
    <w:basedOn w:val="a"/>
    <w:pPr>
      <w:spacing w:before="120" w:after="120"/>
    </w:pPr>
  </w:style>
  <w:style w:type="paragraph" w:customStyle="1" w:styleId="mlhz-slider-icon">
    <w:name w:val="mlhz-slider-icon"/>
    <w:basedOn w:val="a"/>
  </w:style>
  <w:style w:type="paragraph" w:customStyle="1" w:styleId="wsfw-leftcon">
    <w:name w:val="wsfw-leftcon"/>
    <w:basedOn w:val="a"/>
  </w:style>
  <w:style w:type="paragraph" w:customStyle="1" w:styleId="wsfw-rightcon">
    <w:name w:val="wsfw-rightcon"/>
    <w:basedOn w:val="a"/>
  </w:style>
  <w:style w:type="paragraph" w:customStyle="1" w:styleId="wy-title">
    <w:name w:val="wy-title"/>
    <w:basedOn w:val="a"/>
    <w:rPr>
      <w:sz w:val="26"/>
      <w:szCs w:val="26"/>
    </w:rPr>
  </w:style>
  <w:style w:type="paragraph" w:customStyle="1" w:styleId="wsfw-active">
    <w:name w:val="wsfw-active"/>
    <w:basedOn w:val="a"/>
  </w:style>
  <w:style w:type="paragraph" w:customStyle="1" w:styleId="wy-line">
    <w:name w:val="wy-line"/>
    <w:basedOn w:val="a"/>
    <w:pPr>
      <w:pBdr>
        <w:bottom w:val="single" w:sz="4" w:space="0" w:color="E2E2E2"/>
      </w:pBdr>
    </w:pPr>
  </w:style>
  <w:style w:type="paragraph" w:customStyle="1" w:styleId="bg-zf">
    <w:name w:val="bg-zf"/>
    <w:basedOn w:val="a"/>
    <w:pPr>
      <w:shd w:val="clear" w:color="auto" w:fill="FF3300"/>
    </w:pPr>
  </w:style>
  <w:style w:type="paragraph" w:customStyle="1" w:styleId="bg-ggsy">
    <w:name w:val="bg-ggsy"/>
    <w:basedOn w:val="a"/>
    <w:pPr>
      <w:shd w:val="clear" w:color="auto" w:fill="996633"/>
    </w:pPr>
  </w:style>
  <w:style w:type="paragraph" w:customStyle="1" w:styleId="bg-hy">
    <w:name w:val="bg-hy"/>
    <w:basedOn w:val="a"/>
    <w:pPr>
      <w:shd w:val="clear" w:color="auto" w:fill="FF9966"/>
    </w:pPr>
  </w:style>
  <w:style w:type="paragraph" w:customStyle="1" w:styleId="bg-qykb">
    <w:name w:val="bg-qykb"/>
    <w:basedOn w:val="a"/>
    <w:pPr>
      <w:shd w:val="clear" w:color="auto" w:fill="FF9900"/>
    </w:pPr>
  </w:style>
  <w:style w:type="paragraph" w:customStyle="1" w:styleId="bg-zjbl">
    <w:name w:val="bg-zjbl"/>
    <w:basedOn w:val="a"/>
    <w:pPr>
      <w:shd w:val="clear" w:color="auto" w:fill="CC66CC"/>
    </w:pPr>
  </w:style>
  <w:style w:type="paragraph" w:customStyle="1" w:styleId="bg-jyns">
    <w:name w:val="bg-jyns"/>
    <w:basedOn w:val="a"/>
    <w:pPr>
      <w:shd w:val="clear" w:color="auto" w:fill="517CDF"/>
    </w:pPr>
  </w:style>
  <w:style w:type="paragraph" w:customStyle="1" w:styleId="bg-zzrd">
    <w:name w:val="bg-zzrd"/>
    <w:basedOn w:val="a"/>
    <w:pPr>
      <w:shd w:val="clear" w:color="auto" w:fill="0099CC"/>
    </w:pPr>
  </w:style>
  <w:style w:type="paragraph" w:customStyle="1" w:styleId="bg-zsyz">
    <w:name w:val="bg-zsyz"/>
    <w:basedOn w:val="a"/>
    <w:pPr>
      <w:shd w:val="clear" w:color="auto" w:fill="CC9933"/>
    </w:pPr>
  </w:style>
  <w:style w:type="paragraph" w:customStyle="1" w:styleId="wsfw-item">
    <w:name w:val="wsfw-item"/>
    <w:basedOn w:val="a"/>
    <w:pPr>
      <w:jc w:val="center"/>
    </w:pPr>
  </w:style>
  <w:style w:type="paragraph" w:customStyle="1" w:styleId="fwwx-item">
    <w:name w:val="fwwx-item"/>
    <w:basedOn w:val="a"/>
    <w:pPr>
      <w:jc w:val="center"/>
    </w:pPr>
  </w:style>
  <w:style w:type="paragraph" w:customStyle="1" w:styleId="cyfw-list">
    <w:name w:val="cyfw-list"/>
    <w:basedOn w:val="a"/>
    <w:pPr>
      <w:spacing w:before="120"/>
    </w:pPr>
  </w:style>
  <w:style w:type="paragraph" w:customStyle="1" w:styleId="ggfwleft">
    <w:name w:val="ggfw_left"/>
    <w:basedOn w:val="a"/>
    <w:pPr>
      <w:pBdr>
        <w:bottom w:val="single" w:sz="4" w:space="0" w:color="EEEBE2"/>
      </w:pBdr>
    </w:pPr>
  </w:style>
  <w:style w:type="paragraph" w:customStyle="1" w:styleId="zwgkkuang1">
    <w:name w:val="zwgk_kuang1"/>
    <w:basedOn w:val="a"/>
    <w:pPr>
      <w:pBdr>
        <w:top w:val="single" w:sz="2" w:space="0" w:color="E6E1D5"/>
        <w:left w:val="single" w:sz="4" w:space="0" w:color="E6E1D5"/>
        <w:bottom w:val="single" w:sz="4" w:space="0" w:color="E6E1D5"/>
        <w:right w:val="single" w:sz="4" w:space="0" w:color="E6E1D5"/>
      </w:pBdr>
    </w:pPr>
  </w:style>
  <w:style w:type="paragraph" w:customStyle="1" w:styleId="ggfwkuang1">
    <w:name w:val="ggfw_kuang1"/>
    <w:basedOn w:val="a"/>
    <w:pPr>
      <w:pBdr>
        <w:left w:val="single" w:sz="12" w:space="0" w:color="2281D5"/>
      </w:pBdr>
      <w:shd w:val="clear" w:color="auto" w:fill="E3F0FB"/>
    </w:pPr>
  </w:style>
  <w:style w:type="paragraph" w:customStyle="1" w:styleId="ggfwkuang2">
    <w:name w:val="ggfw_kuang2"/>
    <w:basedOn w:val="a"/>
    <w:pPr>
      <w:pBdr>
        <w:top w:val="single" w:sz="4" w:space="0" w:color="2281D5"/>
      </w:pBdr>
      <w:shd w:val="clear" w:color="auto" w:fill="E3F0FB"/>
    </w:pPr>
  </w:style>
  <w:style w:type="paragraph" w:customStyle="1" w:styleId="ggfwkuang3">
    <w:name w:val="ggfw_kuang3"/>
    <w:basedOn w:val="a"/>
    <w:pPr>
      <w:pBdr>
        <w:top w:val="single" w:sz="2" w:space="5" w:color="E6E1D5"/>
        <w:left w:val="single" w:sz="4" w:space="5" w:color="E6E1D5"/>
        <w:bottom w:val="single" w:sz="4" w:space="5" w:color="E6E1D5"/>
        <w:right w:val="single" w:sz="4" w:space="5" w:color="E6E1D5"/>
      </w:pBdr>
    </w:pPr>
  </w:style>
  <w:style w:type="paragraph" w:customStyle="1" w:styleId="ggfwkuang4">
    <w:name w:val="ggfw_kuang4"/>
    <w:basedOn w:val="a"/>
    <w:pPr>
      <w:pBdr>
        <w:top w:val="single" w:sz="4" w:space="0" w:color="E6E1D5"/>
        <w:left w:val="single" w:sz="4" w:space="0" w:color="E6E1D5"/>
        <w:bottom w:val="single" w:sz="4" w:space="0" w:color="E6E1D5"/>
        <w:right w:val="single" w:sz="4" w:space="0" w:color="E6E1D5"/>
      </w:pBdr>
    </w:pPr>
  </w:style>
  <w:style w:type="paragraph" w:customStyle="1" w:styleId="trans">
    <w:name w:val="trans"/>
    <w:basedOn w:val="a"/>
  </w:style>
  <w:style w:type="paragraph" w:customStyle="1" w:styleId="active">
    <w:name w:val="active"/>
    <w:basedOn w:val="a"/>
  </w:style>
  <w:style w:type="paragraph" w:customStyle="1" w:styleId="footctext1">
    <w:name w:val="foot_c_text1"/>
    <w:basedOn w:val="a"/>
  </w:style>
  <w:style w:type="paragraph" w:customStyle="1" w:styleId="footctext2">
    <w:name w:val="foot_c_text2"/>
    <w:basedOn w:val="a"/>
  </w:style>
  <w:style w:type="paragraph" w:customStyle="1" w:styleId="time">
    <w:name w:val="time"/>
    <w:basedOn w:val="a"/>
  </w:style>
  <w:style w:type="paragraph" w:customStyle="1" w:styleId="dianzan">
    <w:name w:val="dianzan"/>
    <w:basedOn w:val="a"/>
  </w:style>
  <w:style w:type="paragraph" w:customStyle="1" w:styleId="a10">
    <w:name w:val="a1"/>
    <w:basedOn w:val="a"/>
  </w:style>
  <w:style w:type="paragraph" w:customStyle="1" w:styleId="a20">
    <w:name w:val="a2"/>
    <w:basedOn w:val="a"/>
  </w:style>
  <w:style w:type="paragraph" w:customStyle="1" w:styleId="a30">
    <w:name w:val="a3"/>
    <w:basedOn w:val="a"/>
  </w:style>
  <w:style w:type="paragraph" w:customStyle="1" w:styleId="a40">
    <w:name w:val="a4"/>
    <w:basedOn w:val="a"/>
  </w:style>
  <w:style w:type="paragraph" w:customStyle="1" w:styleId="a50">
    <w:name w:val="a5"/>
    <w:basedOn w:val="a"/>
  </w:style>
  <w:style w:type="paragraph" w:customStyle="1" w:styleId="a60">
    <w:name w:val="a6"/>
    <w:basedOn w:val="a"/>
  </w:style>
  <w:style w:type="paragraph" w:customStyle="1" w:styleId="similararticletitle">
    <w:name w:val="similararticle_title"/>
    <w:basedOn w:val="a"/>
  </w:style>
  <w:style w:type="paragraph" w:customStyle="1" w:styleId="topcon">
    <w:name w:val="top_con"/>
    <w:basedOn w:val="a"/>
  </w:style>
  <w:style w:type="paragraph" w:customStyle="1" w:styleId="padded-0">
    <w:name w:val="padded-0"/>
    <w:basedOn w:val="a"/>
  </w:style>
  <w:style w:type="paragraph" w:customStyle="1" w:styleId="no-border">
    <w:name w:val="no-border"/>
    <w:basedOn w:val="a"/>
  </w:style>
  <w:style w:type="paragraph" w:customStyle="1" w:styleId="newslistnonedot">
    <w:name w:val="news_list_nonedot"/>
    <w:basedOn w:val="a"/>
  </w:style>
  <w:style w:type="paragraph" w:customStyle="1" w:styleId="active1">
    <w:name w:val="active1"/>
    <w:basedOn w:val="a"/>
    <w:rPr>
      <w:b/>
      <w:bCs/>
      <w:color w:val="267FD3"/>
      <w:sz w:val="26"/>
      <w:szCs w:val="26"/>
    </w:rPr>
  </w:style>
  <w:style w:type="paragraph" w:customStyle="1" w:styleId="a11">
    <w:name w:val="a11"/>
    <w:basedOn w:val="a"/>
  </w:style>
  <w:style w:type="paragraph" w:customStyle="1" w:styleId="a21">
    <w:name w:val="a21"/>
    <w:basedOn w:val="a"/>
  </w:style>
  <w:style w:type="paragraph" w:customStyle="1" w:styleId="a31">
    <w:name w:val="a31"/>
    <w:basedOn w:val="a"/>
  </w:style>
  <w:style w:type="paragraph" w:customStyle="1" w:styleId="a41">
    <w:name w:val="a41"/>
    <w:basedOn w:val="a"/>
  </w:style>
  <w:style w:type="paragraph" w:customStyle="1" w:styleId="a51">
    <w:name w:val="a51"/>
    <w:basedOn w:val="a"/>
  </w:style>
  <w:style w:type="paragraph" w:customStyle="1" w:styleId="a61">
    <w:name w:val="a61"/>
    <w:basedOn w:val="a"/>
  </w:style>
  <w:style w:type="paragraph" w:customStyle="1" w:styleId="footctext11">
    <w:name w:val="foot_c_text11"/>
    <w:basedOn w:val="a"/>
    <w:rPr>
      <w:sz w:val="17"/>
      <w:szCs w:val="17"/>
    </w:rPr>
  </w:style>
  <w:style w:type="paragraph" w:customStyle="1" w:styleId="footctext21">
    <w:name w:val="foot_c_text21"/>
    <w:basedOn w:val="a"/>
  </w:style>
  <w:style w:type="paragraph" w:customStyle="1" w:styleId="time1">
    <w:name w:val="time1"/>
    <w:basedOn w:val="a"/>
    <w:pPr>
      <w:ind w:right="216"/>
    </w:pPr>
  </w:style>
  <w:style w:type="paragraph" w:customStyle="1" w:styleId="dianzan1">
    <w:name w:val="dianzan1"/>
    <w:basedOn w:val="a"/>
  </w:style>
  <w:style w:type="paragraph" w:customStyle="1" w:styleId="similararticletitle1">
    <w:name w:val="similararticle_title1"/>
    <w:basedOn w:val="a"/>
    <w:pPr>
      <w:pBdr>
        <w:bottom w:val="single" w:sz="4" w:space="0" w:color="E0E0E0"/>
      </w:pBdr>
      <w:spacing w:after="120" w:line="420" w:lineRule="atLeast"/>
    </w:pPr>
    <w:rPr>
      <w:color w:val="FF0000"/>
      <w:sz w:val="22"/>
      <w:szCs w:val="22"/>
    </w:rPr>
  </w:style>
  <w:style w:type="paragraph" w:customStyle="1" w:styleId="topcon1">
    <w:name w:val="top_con1"/>
    <w:basedOn w:val="a"/>
    <w:pPr>
      <w:ind w:left="240"/>
    </w:pPr>
  </w:style>
  <w:style w:type="paragraph" w:customStyle="1" w:styleId="active2">
    <w:name w:val="active2"/>
    <w:basedOn w:val="a"/>
    <w:rPr>
      <w:color w:val="267FD3"/>
    </w:rPr>
  </w:style>
  <w:style w:type="paragraph" w:customStyle="1" w:styleId="active3">
    <w:name w:val="active3"/>
    <w:basedOn w:val="a"/>
    <w:rPr>
      <w:b/>
      <w:bCs/>
      <w:color w:val="267FD3"/>
      <w:sz w:val="26"/>
      <w:szCs w:val="26"/>
    </w:rPr>
  </w:style>
  <w:style w:type="character" w:customStyle="1" w:styleId="time2">
    <w:name w:val="time2"/>
    <w:basedOn w:val="a0"/>
  </w:style>
  <w:style w:type="character" w:customStyle="1" w:styleId="ly">
    <w:name w:val="ly"/>
    <w:basedOn w:val="a0"/>
  </w:style>
  <w:style w:type="paragraph" w:styleId="a7">
    <w:name w:val="Balloon Text"/>
    <w:basedOn w:val="a"/>
    <w:link w:val="Char"/>
    <w:uiPriority w:val="99"/>
    <w:semiHidden/>
    <w:unhideWhenUsed/>
    <w:rsid w:val="00B01CD2"/>
    <w:rPr>
      <w:sz w:val="18"/>
      <w:szCs w:val="18"/>
    </w:rPr>
  </w:style>
  <w:style w:type="character" w:customStyle="1" w:styleId="Char">
    <w:name w:val="批注框文本 Char"/>
    <w:basedOn w:val="a0"/>
    <w:link w:val="a7"/>
    <w:uiPriority w:val="99"/>
    <w:semiHidden/>
    <w:rsid w:val="00B01CD2"/>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1400208289">
      <w:marLeft w:val="0"/>
      <w:marRight w:val="0"/>
      <w:marTop w:val="0"/>
      <w:marBottom w:val="0"/>
      <w:divBdr>
        <w:top w:val="none" w:sz="0" w:space="0" w:color="auto"/>
        <w:left w:val="none" w:sz="0" w:space="0" w:color="auto"/>
        <w:bottom w:val="none" w:sz="0" w:space="0" w:color="auto"/>
        <w:right w:val="none" w:sz="0" w:space="0" w:color="auto"/>
      </w:divBdr>
      <w:divsChild>
        <w:div w:id="1441219584">
          <w:marLeft w:val="0"/>
          <w:marRight w:val="0"/>
          <w:marTop w:val="0"/>
          <w:marBottom w:val="0"/>
          <w:divBdr>
            <w:top w:val="none" w:sz="0" w:space="0" w:color="auto"/>
            <w:left w:val="none" w:sz="0" w:space="0" w:color="auto"/>
            <w:bottom w:val="single" w:sz="4" w:space="0" w:color="EBEBEB"/>
            <w:right w:val="none" w:sz="0" w:space="0" w:color="auto"/>
          </w:divBdr>
        </w:div>
        <w:div w:id="117916899">
          <w:marLeft w:val="0"/>
          <w:marRight w:val="0"/>
          <w:marTop w:val="0"/>
          <w:marBottom w:val="312"/>
          <w:divBdr>
            <w:top w:val="none" w:sz="0" w:space="0" w:color="auto"/>
            <w:left w:val="none" w:sz="0" w:space="0" w:color="auto"/>
            <w:bottom w:val="none" w:sz="0" w:space="0" w:color="auto"/>
            <w:right w:val="none" w:sz="0" w:space="0" w:color="auto"/>
          </w:divBdr>
          <w:divsChild>
            <w:div w:id="1373574897">
              <w:marLeft w:val="0"/>
              <w:marRight w:val="0"/>
              <w:marTop w:val="0"/>
              <w:marBottom w:val="0"/>
              <w:divBdr>
                <w:top w:val="none" w:sz="0" w:space="0" w:color="auto"/>
                <w:left w:val="none" w:sz="0" w:space="0" w:color="auto"/>
                <w:bottom w:val="none" w:sz="0" w:space="0" w:color="auto"/>
                <w:right w:val="none" w:sz="0" w:space="0" w:color="auto"/>
              </w:divBdr>
              <w:divsChild>
                <w:div w:id="1130824971">
                  <w:marLeft w:val="0"/>
                  <w:marRight w:val="0"/>
                  <w:marTop w:val="0"/>
                  <w:marBottom w:val="0"/>
                  <w:divBdr>
                    <w:top w:val="none" w:sz="0" w:space="0" w:color="auto"/>
                    <w:left w:val="none" w:sz="0" w:space="0" w:color="auto"/>
                    <w:bottom w:val="none" w:sz="0" w:space="0" w:color="auto"/>
                    <w:right w:val="none" w:sz="0" w:space="0" w:color="auto"/>
                  </w:divBdr>
                </w:div>
                <w:div w:id="574903801">
                  <w:marLeft w:val="0"/>
                  <w:marRight w:val="0"/>
                  <w:marTop w:val="0"/>
                  <w:marBottom w:val="0"/>
                  <w:divBdr>
                    <w:top w:val="none" w:sz="0" w:space="0" w:color="auto"/>
                    <w:left w:val="none" w:sz="0" w:space="0" w:color="auto"/>
                    <w:bottom w:val="none" w:sz="0" w:space="0" w:color="auto"/>
                    <w:right w:val="none" w:sz="0" w:space="0" w:color="auto"/>
                  </w:divBdr>
                  <w:divsChild>
                    <w:div w:id="1842282589">
                      <w:marLeft w:val="0"/>
                      <w:marRight w:val="0"/>
                      <w:marTop w:val="0"/>
                      <w:marBottom w:val="0"/>
                      <w:divBdr>
                        <w:top w:val="none" w:sz="0" w:space="0" w:color="auto"/>
                        <w:left w:val="none" w:sz="0" w:space="0" w:color="auto"/>
                        <w:bottom w:val="none" w:sz="0" w:space="0" w:color="auto"/>
                        <w:right w:val="none" w:sz="0" w:space="0" w:color="auto"/>
                      </w:divBdr>
                    </w:div>
                    <w:div w:id="1909026113">
                      <w:marLeft w:val="0"/>
                      <w:marRight w:val="0"/>
                      <w:marTop w:val="0"/>
                      <w:marBottom w:val="0"/>
                      <w:divBdr>
                        <w:top w:val="none" w:sz="0" w:space="0" w:color="auto"/>
                        <w:left w:val="none" w:sz="0" w:space="0" w:color="auto"/>
                        <w:bottom w:val="none" w:sz="0" w:space="0" w:color="auto"/>
                        <w:right w:val="none" w:sz="0" w:space="0" w:color="auto"/>
                      </w:divBdr>
                    </w:div>
                    <w:div w:id="2037466541">
                      <w:marLeft w:val="0"/>
                      <w:marRight w:val="0"/>
                      <w:marTop w:val="0"/>
                      <w:marBottom w:val="0"/>
                      <w:divBdr>
                        <w:top w:val="none" w:sz="0" w:space="0" w:color="auto"/>
                        <w:left w:val="none" w:sz="0" w:space="0" w:color="auto"/>
                        <w:bottom w:val="none" w:sz="0" w:space="0" w:color="auto"/>
                        <w:right w:val="none" w:sz="0" w:space="0" w:color="auto"/>
                      </w:divBdr>
                    </w:div>
                    <w:div w:id="566570296">
                      <w:marLeft w:val="0"/>
                      <w:marRight w:val="0"/>
                      <w:marTop w:val="0"/>
                      <w:marBottom w:val="0"/>
                      <w:divBdr>
                        <w:top w:val="none" w:sz="0" w:space="0" w:color="auto"/>
                        <w:left w:val="none" w:sz="0" w:space="0" w:color="auto"/>
                        <w:bottom w:val="none" w:sz="0" w:space="0" w:color="auto"/>
                        <w:right w:val="none" w:sz="0" w:space="0" w:color="auto"/>
                      </w:divBdr>
                    </w:div>
                    <w:div w:id="1113358138">
                      <w:marLeft w:val="0"/>
                      <w:marRight w:val="0"/>
                      <w:marTop w:val="0"/>
                      <w:marBottom w:val="0"/>
                      <w:divBdr>
                        <w:top w:val="none" w:sz="0" w:space="0" w:color="auto"/>
                        <w:left w:val="none" w:sz="0" w:space="0" w:color="auto"/>
                        <w:bottom w:val="none" w:sz="0" w:space="0" w:color="auto"/>
                        <w:right w:val="none" w:sz="0" w:space="0" w:color="auto"/>
                      </w:divBdr>
                    </w:div>
                    <w:div w:id="24916273">
                      <w:marLeft w:val="0"/>
                      <w:marRight w:val="0"/>
                      <w:marTop w:val="0"/>
                      <w:marBottom w:val="0"/>
                      <w:divBdr>
                        <w:top w:val="none" w:sz="0" w:space="0" w:color="auto"/>
                        <w:left w:val="none" w:sz="0" w:space="0" w:color="auto"/>
                        <w:bottom w:val="none" w:sz="0" w:space="0" w:color="auto"/>
                        <w:right w:val="none" w:sz="0" w:space="0" w:color="auto"/>
                      </w:divBdr>
                    </w:div>
                    <w:div w:id="96523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1904</Words>
  <Characters>10858</Characters>
  <Application>Microsoft Office Word</Application>
  <DocSecurity>4</DocSecurity>
  <Lines>90</Lines>
  <Paragraphs>25</Paragraphs>
  <ScaleCrop>false</ScaleCrop>
  <Company>CHINA</Company>
  <LinksUpToDate>false</LinksUpToDate>
  <CharactersWithSpaces>12737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惠州市人民政府门户网站</dc:title>
  <dc:subject/>
  <dc:creator>linfan</dc:creator>
  <cp:keywords/>
  <dc:description/>
  <cp:lastModifiedBy>linfan</cp:lastModifiedBy>
  <cp:revision>2</cp:revision>
  <dcterms:created xsi:type="dcterms:W3CDTF">2018-05-17T05:00:00Z</dcterms:created>
  <dcterms:modified xsi:type="dcterms:W3CDTF">2018-05-17T05:00:00Z</dcterms:modified>
</cp:coreProperties>
</file>