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AC780" w14:textId="77777777" w:rsidR="00F33D40" w:rsidRPr="00F33D40" w:rsidRDefault="00F33D40" w:rsidP="00F33D40">
      <w:pPr>
        <w:widowControl/>
        <w:jc w:val="center"/>
        <w:rPr>
          <w:rFonts w:ascii="微软雅黑" w:eastAsia="微软雅黑" w:hAnsi="微软雅黑" w:cs="宋体"/>
          <w:color w:val="0B5492"/>
          <w:kern w:val="0"/>
          <w:sz w:val="38"/>
          <w:szCs w:val="38"/>
        </w:rPr>
      </w:pPr>
      <w:r w:rsidRPr="00F33D40">
        <w:rPr>
          <w:rFonts w:ascii="微软雅黑" w:eastAsia="微软雅黑" w:hAnsi="微软雅黑" w:cs="宋体" w:hint="eastAsia"/>
          <w:color w:val="0B5492"/>
          <w:kern w:val="0"/>
          <w:sz w:val="38"/>
          <w:szCs w:val="38"/>
        </w:rPr>
        <w:t>关于印发《四川省企业技术中心认定管理办法》的通知</w:t>
      </w:r>
    </w:p>
    <w:p w14:paraId="491450CB" w14:textId="77777777" w:rsidR="00F33D40" w:rsidRPr="00F33D40" w:rsidRDefault="00F33D40" w:rsidP="00F33D40">
      <w:pPr>
        <w:widowControl/>
        <w:jc w:val="left"/>
        <w:rPr>
          <w:rFonts w:ascii="微软雅黑" w:eastAsia="微软雅黑" w:hAnsi="微软雅黑" w:cs="宋体"/>
          <w:color w:val="000000"/>
          <w:kern w:val="0"/>
          <w:szCs w:val="21"/>
        </w:rPr>
      </w:pPr>
      <w:r w:rsidRPr="00F33D40">
        <w:rPr>
          <w:rFonts w:ascii="微软雅黑" w:eastAsia="微软雅黑" w:hAnsi="微软雅黑" w:cs="宋体" w:hint="eastAsia"/>
          <w:color w:val="000000"/>
          <w:kern w:val="0"/>
          <w:szCs w:val="21"/>
        </w:rPr>
        <w:t>发布日期:2017-04-25</w:t>
      </w:r>
    </w:p>
    <w:p w14:paraId="10F3DD8C" w14:textId="77777777" w:rsidR="00F33D40" w:rsidRPr="00F33D40" w:rsidRDefault="00F33D40" w:rsidP="00F33D40">
      <w:pPr>
        <w:widowControl/>
        <w:spacing w:line="360" w:lineRule="atLeast"/>
        <w:jc w:val="center"/>
        <w:rPr>
          <w:rFonts w:ascii="微软雅黑" w:eastAsia="微软雅黑" w:hAnsi="微软雅黑" w:cs="宋体"/>
          <w:color w:val="000000"/>
          <w:kern w:val="0"/>
          <w:sz w:val="24"/>
          <w:szCs w:val="24"/>
        </w:rPr>
      </w:pPr>
      <w:proofErr w:type="gramStart"/>
      <w:r w:rsidRPr="00F33D40">
        <w:rPr>
          <w:rFonts w:ascii="微软雅黑" w:eastAsia="微软雅黑" w:hAnsi="微软雅黑" w:cs="宋体" w:hint="eastAsia"/>
          <w:color w:val="333333"/>
          <w:kern w:val="0"/>
          <w:sz w:val="24"/>
          <w:szCs w:val="24"/>
        </w:rPr>
        <w:t>川经信技创</w:t>
      </w:r>
      <w:proofErr w:type="gramEnd"/>
      <w:r w:rsidRPr="00F33D40">
        <w:rPr>
          <w:rFonts w:ascii="微软雅黑" w:eastAsia="微软雅黑" w:hAnsi="微软雅黑" w:cs="宋体" w:hint="eastAsia"/>
          <w:color w:val="333333"/>
          <w:kern w:val="0"/>
          <w:sz w:val="24"/>
          <w:szCs w:val="24"/>
        </w:rPr>
        <w:t>〔2017〕130号</w:t>
      </w:r>
    </w:p>
    <w:p w14:paraId="76870A24" w14:textId="77777777" w:rsidR="00F33D40" w:rsidRPr="00F33D40" w:rsidRDefault="00F33D40" w:rsidP="00F33D40">
      <w:pPr>
        <w:widowControl/>
        <w:spacing w:line="360" w:lineRule="atLeast"/>
        <w:jc w:val="center"/>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w:t>
      </w:r>
    </w:p>
    <w:p w14:paraId="359CEF74" w14:textId="77777777" w:rsidR="00F33D40" w:rsidRPr="00F33D40" w:rsidRDefault="00F33D40" w:rsidP="00F33D40">
      <w:pPr>
        <w:widowControl/>
        <w:spacing w:line="360" w:lineRule="atLeast"/>
        <w:rPr>
          <w:rFonts w:ascii="微软雅黑" w:eastAsia="微软雅黑" w:hAnsi="微软雅黑" w:cs="宋体"/>
          <w:color w:val="000000"/>
          <w:kern w:val="0"/>
          <w:sz w:val="24"/>
          <w:szCs w:val="24"/>
        </w:rPr>
      </w:pPr>
      <w:r w:rsidRPr="00F33D40">
        <w:rPr>
          <w:rFonts w:ascii="微软雅黑" w:eastAsia="微软雅黑" w:hAnsi="微软雅黑" w:cs="宋体" w:hint="eastAsia"/>
          <w:color w:val="333333"/>
          <w:kern w:val="0"/>
          <w:sz w:val="24"/>
          <w:szCs w:val="24"/>
        </w:rPr>
        <w:t>各市(州)经济和信息化委、发展改革委、科技局、财政局、税务局、海关，有关单位：</w:t>
      </w:r>
    </w:p>
    <w:p w14:paraId="609B1007" w14:textId="77777777" w:rsidR="00F33D40" w:rsidRPr="00F33D40" w:rsidRDefault="00F33D40" w:rsidP="00F33D40">
      <w:pPr>
        <w:widowControl/>
        <w:spacing w:line="580" w:lineRule="atLeast"/>
        <w:ind w:firstLine="480"/>
        <w:rPr>
          <w:rFonts w:ascii="微软雅黑" w:eastAsia="微软雅黑" w:hAnsi="微软雅黑" w:cs="宋体"/>
          <w:color w:val="000000"/>
          <w:kern w:val="0"/>
          <w:sz w:val="24"/>
          <w:szCs w:val="24"/>
        </w:rPr>
      </w:pPr>
      <w:r w:rsidRPr="00F33D40">
        <w:rPr>
          <w:rFonts w:ascii="微软雅黑" w:eastAsia="微软雅黑" w:hAnsi="微软雅黑" w:cs="宋体" w:hint="eastAsia"/>
          <w:color w:val="333333"/>
          <w:kern w:val="0"/>
          <w:sz w:val="24"/>
          <w:szCs w:val="24"/>
        </w:rPr>
        <w:t>为深入实施创新驱动发展战略，进一步强化企业技术创新主体地位，引导和支持企业增强技术创新能力，健全技术创新市场导向机制，规范四川省企业技术中心管理，参照《国家企业技术中心认定管理办法》，对《四川省企业技术中心管理办法》</w:t>
      </w:r>
      <w:r w:rsidRPr="00F33D40">
        <w:rPr>
          <w:rFonts w:ascii="微软雅黑" w:eastAsia="微软雅黑" w:hAnsi="微软雅黑" w:cs="宋体" w:hint="eastAsia"/>
          <w:color w:val="000000"/>
          <w:kern w:val="0"/>
          <w:sz w:val="24"/>
          <w:szCs w:val="24"/>
        </w:rPr>
        <w:t>（</w:t>
      </w:r>
      <w:proofErr w:type="gramStart"/>
      <w:r w:rsidRPr="00F33D40">
        <w:rPr>
          <w:rFonts w:ascii="微软雅黑" w:eastAsia="微软雅黑" w:hAnsi="微软雅黑" w:cs="宋体" w:hint="eastAsia"/>
          <w:color w:val="000000"/>
          <w:kern w:val="0"/>
          <w:sz w:val="24"/>
          <w:szCs w:val="24"/>
        </w:rPr>
        <w:t>川经〔2007〕</w:t>
      </w:r>
      <w:proofErr w:type="gramEnd"/>
      <w:r w:rsidRPr="00F33D40">
        <w:rPr>
          <w:rFonts w:ascii="微软雅黑" w:eastAsia="微软雅黑" w:hAnsi="微软雅黑" w:cs="宋体" w:hint="eastAsia"/>
          <w:color w:val="000000"/>
          <w:kern w:val="0"/>
          <w:sz w:val="24"/>
          <w:szCs w:val="24"/>
        </w:rPr>
        <w:t>1号）</w:t>
      </w:r>
      <w:r w:rsidRPr="00F33D40">
        <w:rPr>
          <w:rFonts w:ascii="微软雅黑" w:eastAsia="微软雅黑" w:hAnsi="微软雅黑" w:cs="宋体" w:hint="eastAsia"/>
          <w:color w:val="333333"/>
          <w:kern w:val="0"/>
          <w:sz w:val="24"/>
          <w:szCs w:val="24"/>
        </w:rPr>
        <w:t>进行了修订，在此基础上制定了《四川省企业技术中心认定管理办法》，现予公布，自4月1日起实施。《四川省企业技术中心管理办法》</w:t>
      </w:r>
      <w:r w:rsidRPr="00F33D40">
        <w:rPr>
          <w:rFonts w:ascii="微软雅黑" w:eastAsia="微软雅黑" w:hAnsi="微软雅黑" w:cs="宋体" w:hint="eastAsia"/>
          <w:color w:val="000000"/>
          <w:kern w:val="0"/>
          <w:sz w:val="24"/>
          <w:szCs w:val="24"/>
        </w:rPr>
        <w:t>（</w:t>
      </w:r>
      <w:proofErr w:type="gramStart"/>
      <w:r w:rsidRPr="00F33D40">
        <w:rPr>
          <w:rFonts w:ascii="微软雅黑" w:eastAsia="微软雅黑" w:hAnsi="微软雅黑" w:cs="宋体" w:hint="eastAsia"/>
          <w:color w:val="000000"/>
          <w:kern w:val="0"/>
          <w:sz w:val="24"/>
          <w:szCs w:val="24"/>
        </w:rPr>
        <w:t>川经〔2007〕</w:t>
      </w:r>
      <w:proofErr w:type="gramEnd"/>
      <w:r w:rsidRPr="00F33D40">
        <w:rPr>
          <w:rFonts w:ascii="微软雅黑" w:eastAsia="微软雅黑" w:hAnsi="微软雅黑" w:cs="宋体" w:hint="eastAsia"/>
          <w:color w:val="000000"/>
          <w:kern w:val="0"/>
          <w:sz w:val="24"/>
          <w:szCs w:val="24"/>
        </w:rPr>
        <w:t>1号）</w:t>
      </w:r>
      <w:r w:rsidRPr="00F33D40">
        <w:rPr>
          <w:rFonts w:ascii="微软雅黑" w:eastAsia="微软雅黑" w:hAnsi="微软雅黑" w:cs="宋体" w:hint="eastAsia"/>
          <w:color w:val="333333"/>
          <w:kern w:val="0"/>
          <w:sz w:val="24"/>
          <w:szCs w:val="24"/>
        </w:rPr>
        <w:t>同时废止。</w:t>
      </w:r>
    </w:p>
    <w:p w14:paraId="37C2C30C" w14:textId="77777777" w:rsidR="00F33D40" w:rsidRPr="00F33D40" w:rsidRDefault="00F33D40" w:rsidP="00F33D40">
      <w:pPr>
        <w:widowControl/>
        <w:spacing w:line="580" w:lineRule="atLeast"/>
        <w:ind w:firstLine="480"/>
        <w:jc w:val="lef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w:t>
      </w:r>
    </w:p>
    <w:p w14:paraId="27F60158" w14:textId="6CBB63DE" w:rsidR="00F33D40" w:rsidRPr="00F33D40" w:rsidRDefault="00F33D40" w:rsidP="00E2010B">
      <w:pPr>
        <w:widowControl/>
        <w:spacing w:line="580" w:lineRule="atLeast"/>
        <w:ind w:firstLine="480"/>
        <w:jc w:val="righ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四川省经济和信息化委员会</w:t>
      </w:r>
    </w:p>
    <w:p w14:paraId="239E4DC9" w14:textId="77777777" w:rsidR="00F33D40" w:rsidRPr="00F33D40" w:rsidRDefault="00F33D40" w:rsidP="00F33D40">
      <w:pPr>
        <w:widowControl/>
        <w:spacing w:line="360" w:lineRule="atLeast"/>
        <w:jc w:val="righ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四川省发展和改革委员会</w:t>
      </w:r>
    </w:p>
    <w:p w14:paraId="0B1AD012" w14:textId="77777777" w:rsidR="00F33D40" w:rsidRPr="00F33D40" w:rsidRDefault="00F33D40" w:rsidP="00F33D40">
      <w:pPr>
        <w:widowControl/>
        <w:spacing w:line="360" w:lineRule="atLeast"/>
        <w:jc w:val="righ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四川省科学技术厅</w:t>
      </w:r>
    </w:p>
    <w:p w14:paraId="1EACF0EC" w14:textId="77777777" w:rsidR="00F33D40" w:rsidRPr="00F33D40" w:rsidRDefault="00F33D40" w:rsidP="00F33D40">
      <w:pPr>
        <w:widowControl/>
        <w:spacing w:line="360" w:lineRule="atLeast"/>
        <w:jc w:val="righ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四川省财政厅</w:t>
      </w:r>
    </w:p>
    <w:p w14:paraId="6BA351EB" w14:textId="77777777" w:rsidR="00F33D40" w:rsidRPr="00F33D40" w:rsidRDefault="00F33D40" w:rsidP="00F33D40">
      <w:pPr>
        <w:widowControl/>
        <w:spacing w:line="360" w:lineRule="atLeast"/>
        <w:jc w:val="righ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四川省地方税务局</w:t>
      </w:r>
    </w:p>
    <w:p w14:paraId="738A8972" w14:textId="77777777" w:rsidR="00F33D40" w:rsidRPr="00F33D40" w:rsidRDefault="00F33D40" w:rsidP="00F33D40">
      <w:pPr>
        <w:widowControl/>
        <w:spacing w:line="360" w:lineRule="atLeast"/>
        <w:jc w:val="righ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中华人民共和国成都海关</w:t>
      </w:r>
    </w:p>
    <w:p w14:paraId="24C7DBF8" w14:textId="77777777" w:rsidR="00F33D40" w:rsidRPr="00F33D40" w:rsidRDefault="00F33D40" w:rsidP="00F33D40">
      <w:pPr>
        <w:widowControl/>
        <w:spacing w:line="360" w:lineRule="atLeast"/>
        <w:jc w:val="righ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2017年4月19日</w:t>
      </w:r>
    </w:p>
    <w:p w14:paraId="224E6ED2" w14:textId="61708068" w:rsidR="000068F8" w:rsidRPr="00F33D40" w:rsidRDefault="00F33D40" w:rsidP="000068F8">
      <w:pPr>
        <w:widowControl/>
        <w:spacing w:line="360" w:lineRule="atLeast"/>
        <w:jc w:val="righ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lastRenderedPageBreak/>
        <w:t> </w:t>
      </w:r>
      <w:bookmarkStart w:id="0" w:name="_GoBack"/>
      <w:bookmarkEnd w:id="0"/>
    </w:p>
    <w:p w14:paraId="72BDFE39" w14:textId="3DE9FDDB" w:rsidR="00F33D40" w:rsidRPr="00F33D40" w:rsidRDefault="00F33D40" w:rsidP="00F33D40">
      <w:pPr>
        <w:widowControl/>
        <w:spacing w:line="360" w:lineRule="atLeast"/>
        <w:jc w:val="right"/>
        <w:rPr>
          <w:rFonts w:ascii="微软雅黑" w:eastAsia="微软雅黑" w:hAnsi="微软雅黑" w:cs="宋体"/>
          <w:color w:val="000000"/>
          <w:kern w:val="0"/>
          <w:sz w:val="24"/>
          <w:szCs w:val="24"/>
        </w:rPr>
      </w:pPr>
    </w:p>
    <w:p w14:paraId="7DCED088" w14:textId="77777777" w:rsidR="00F33D40" w:rsidRPr="00F33D40" w:rsidRDefault="00F33D40" w:rsidP="00F33D40">
      <w:pPr>
        <w:widowControl/>
        <w:spacing w:line="580" w:lineRule="atLeast"/>
        <w:jc w:val="center"/>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四川省企业技术中心认定管理办法</w:t>
      </w:r>
    </w:p>
    <w:p w14:paraId="0222ED1E" w14:textId="77777777" w:rsidR="00F33D40" w:rsidRPr="00F33D40" w:rsidRDefault="00F33D40" w:rsidP="00F33D40">
      <w:pPr>
        <w:widowControl/>
        <w:spacing w:line="580" w:lineRule="atLeast"/>
        <w:jc w:val="center"/>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w:t>
      </w:r>
    </w:p>
    <w:p w14:paraId="10EF472E" w14:textId="77777777" w:rsidR="00F33D40" w:rsidRPr="00F33D40" w:rsidRDefault="00F33D40" w:rsidP="00F33D40">
      <w:pPr>
        <w:widowControl/>
        <w:spacing w:line="580" w:lineRule="atLeast"/>
        <w:jc w:val="center"/>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第一章 总则</w:t>
      </w:r>
    </w:p>
    <w:p w14:paraId="468A7ACB" w14:textId="77777777" w:rsidR="00F33D40" w:rsidRPr="00F33D40" w:rsidRDefault="00F33D40" w:rsidP="00F33D40">
      <w:pPr>
        <w:widowControl/>
        <w:spacing w:line="580" w:lineRule="atLeast"/>
        <w:ind w:firstLine="643"/>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第一条</w:t>
      </w:r>
      <w:r w:rsidRPr="00F33D40">
        <w:rPr>
          <w:rFonts w:ascii="微软雅黑" w:eastAsia="微软雅黑" w:hAnsi="微软雅黑" w:cs="宋体" w:hint="eastAsia"/>
          <w:color w:val="000000"/>
          <w:kern w:val="0"/>
          <w:sz w:val="24"/>
          <w:szCs w:val="24"/>
        </w:rPr>
        <w:t> 为深入实施创新驱动发展战略，进一步强化企业技术创新主体地位，引导和支持企业增强技术创新能力，健全技术创新市场导向机制，规范四川省企业技术中心（以下称</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技术中心）管理，依据《四川省企业技术创新条例》，并参照《国家企业技术中心认定管理办法》，特制定本办法。</w:t>
      </w:r>
    </w:p>
    <w:p w14:paraId="49958860" w14:textId="77777777" w:rsidR="00F33D40" w:rsidRPr="00F33D40" w:rsidRDefault="00F33D40" w:rsidP="00F33D40">
      <w:pPr>
        <w:widowControl/>
        <w:spacing w:line="580" w:lineRule="atLeast"/>
        <w:ind w:firstLine="630"/>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第二条</w:t>
      </w:r>
      <w:r w:rsidRPr="00F33D40">
        <w:rPr>
          <w:rFonts w:ascii="微软雅黑" w:eastAsia="微软雅黑" w:hAnsi="微软雅黑" w:cs="宋体" w:hint="eastAsia"/>
          <w:color w:val="000000"/>
          <w:kern w:val="0"/>
          <w:sz w:val="24"/>
          <w:szCs w:val="24"/>
        </w:rPr>
        <w:t> 本办法所指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14:paraId="089DA16C" w14:textId="77777777" w:rsidR="00F33D40" w:rsidRPr="00F33D40" w:rsidRDefault="00F33D40" w:rsidP="00F33D40">
      <w:pPr>
        <w:widowControl/>
        <w:spacing w:line="580" w:lineRule="atLeast"/>
        <w:ind w:firstLine="643"/>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第三条</w:t>
      </w:r>
      <w:r w:rsidRPr="00F33D40">
        <w:rPr>
          <w:rFonts w:ascii="微软雅黑" w:eastAsia="微软雅黑" w:hAnsi="微软雅黑" w:cs="宋体" w:hint="eastAsia"/>
          <w:color w:val="000000"/>
          <w:kern w:val="0"/>
          <w:sz w:val="24"/>
          <w:szCs w:val="24"/>
        </w:rPr>
        <w:t> 鼓励和支持企业建立技术中心，发挥企业在技术创新中的主体作用，建立健全企业主导产业技术研发创新的体制机制。根据创新驱动发展要求和经济结构调整需要，对创新能力强、创新机制好、引领示范作用大、符合条件的企业技术中心予以认定，并给予政策支持，鼓励引导行业骨干企业带动产业技术进步和创新能力提高。</w:t>
      </w:r>
    </w:p>
    <w:p w14:paraId="224657D8" w14:textId="77777777" w:rsidR="00F33D40" w:rsidRPr="00F33D40" w:rsidRDefault="00F33D40" w:rsidP="00F33D40">
      <w:pPr>
        <w:widowControl/>
        <w:spacing w:line="580" w:lineRule="atLeast"/>
        <w:ind w:firstLine="643"/>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第四条</w:t>
      </w:r>
      <w:r w:rsidRPr="00F33D40">
        <w:rPr>
          <w:rFonts w:ascii="微软雅黑" w:eastAsia="微软雅黑" w:hAnsi="微软雅黑" w:cs="宋体" w:hint="eastAsia"/>
          <w:color w:val="000000"/>
          <w:kern w:val="0"/>
          <w:sz w:val="24"/>
          <w:szCs w:val="24"/>
        </w:rPr>
        <w:t> 四川省经济和信息化委员会（以下称省经济和信息化委）、四川省发展和改革委员会（以下简称省发展改革委）、四川省科学技术厅（以下</w:t>
      </w:r>
      <w:proofErr w:type="gramStart"/>
      <w:r w:rsidRPr="00F33D40">
        <w:rPr>
          <w:rFonts w:ascii="微软雅黑" w:eastAsia="微软雅黑" w:hAnsi="微软雅黑" w:cs="宋体" w:hint="eastAsia"/>
          <w:color w:val="000000"/>
          <w:kern w:val="0"/>
          <w:sz w:val="24"/>
          <w:szCs w:val="24"/>
        </w:rPr>
        <w:t>称科技</w:t>
      </w:r>
      <w:proofErr w:type="gramEnd"/>
      <w:r w:rsidRPr="00F33D40">
        <w:rPr>
          <w:rFonts w:ascii="微软雅黑" w:eastAsia="微软雅黑" w:hAnsi="微软雅黑" w:cs="宋体" w:hint="eastAsia"/>
          <w:color w:val="000000"/>
          <w:kern w:val="0"/>
          <w:sz w:val="24"/>
          <w:szCs w:val="24"/>
        </w:rPr>
        <w:t>厅）、四川省财政厅（以下称财政厅）、四川省地方税务局（以下称省地税局）、</w:t>
      </w:r>
      <w:r w:rsidRPr="00F33D40">
        <w:rPr>
          <w:rFonts w:ascii="微软雅黑" w:eastAsia="微软雅黑" w:hAnsi="微软雅黑" w:cs="宋体" w:hint="eastAsia"/>
          <w:color w:val="000000"/>
          <w:kern w:val="0"/>
          <w:sz w:val="24"/>
          <w:szCs w:val="24"/>
        </w:rPr>
        <w:lastRenderedPageBreak/>
        <w:t>中华人民共和国成都海关（以下称成都海关）负责指导协调</w:t>
      </w:r>
      <w:proofErr w:type="gramStart"/>
      <w:r w:rsidRPr="00F33D40">
        <w:rPr>
          <w:rFonts w:ascii="微软雅黑" w:eastAsia="微软雅黑" w:hAnsi="微软雅黑" w:cs="宋体" w:hint="eastAsia"/>
          <w:color w:val="000000"/>
          <w:kern w:val="0"/>
          <w:sz w:val="24"/>
          <w:szCs w:val="24"/>
        </w:rPr>
        <w:t>省企</w:t>
      </w:r>
      <w:proofErr w:type="gramEnd"/>
      <w:r w:rsidRPr="00F33D40">
        <w:rPr>
          <w:rFonts w:ascii="微软雅黑" w:eastAsia="微软雅黑" w:hAnsi="微软雅黑" w:cs="宋体" w:hint="eastAsia"/>
          <w:color w:val="000000"/>
          <w:kern w:val="0"/>
          <w:sz w:val="24"/>
          <w:szCs w:val="24"/>
        </w:rPr>
        <w:t>业技术中心相关工作。省经济和信息化委牵头开展</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技术中心的认定与运行评价。</w:t>
      </w:r>
    </w:p>
    <w:p w14:paraId="7FA4C85D" w14:textId="77777777" w:rsidR="00F33D40" w:rsidRPr="00F33D40" w:rsidRDefault="00F33D40" w:rsidP="00F33D40">
      <w:pPr>
        <w:widowControl/>
        <w:spacing w:line="580" w:lineRule="atLeast"/>
        <w:ind w:firstLine="640"/>
        <w:jc w:val="lef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各市（州）或扩权试点县主管部门，负责</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技术中心的申报、管理等事项。</w:t>
      </w:r>
    </w:p>
    <w:p w14:paraId="6FA7A240" w14:textId="77777777" w:rsidR="00F33D40" w:rsidRPr="00F33D40" w:rsidRDefault="00F33D40" w:rsidP="00F33D40">
      <w:pPr>
        <w:widowControl/>
        <w:spacing w:line="580" w:lineRule="atLeast"/>
        <w:ind w:firstLine="640"/>
        <w:jc w:val="lef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w:t>
      </w:r>
    </w:p>
    <w:p w14:paraId="0D0864DE" w14:textId="77777777" w:rsidR="00F33D40" w:rsidRPr="00F33D40" w:rsidRDefault="00F33D40" w:rsidP="00F33D40">
      <w:pPr>
        <w:widowControl/>
        <w:spacing w:line="580" w:lineRule="atLeast"/>
        <w:ind w:firstLine="80"/>
        <w:jc w:val="center"/>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第二章 </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技术中心认定</w:t>
      </w:r>
    </w:p>
    <w:p w14:paraId="1612569E" w14:textId="77777777" w:rsidR="00F33D40" w:rsidRPr="00F33D40" w:rsidRDefault="00F33D40" w:rsidP="00F33D40">
      <w:pPr>
        <w:widowControl/>
        <w:spacing w:line="580" w:lineRule="atLeast"/>
        <w:ind w:firstLine="643"/>
        <w:jc w:val="left"/>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第五条</w:t>
      </w:r>
      <w:r w:rsidRPr="00F33D40">
        <w:rPr>
          <w:rFonts w:ascii="微软雅黑" w:eastAsia="微软雅黑" w:hAnsi="微软雅黑" w:cs="宋体" w:hint="eastAsia"/>
          <w:color w:val="000000"/>
          <w:kern w:val="0"/>
          <w:sz w:val="24"/>
          <w:szCs w:val="24"/>
        </w:rPr>
        <w:t> </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技术中心的认定，原则上每年进行一次。各市（州）或扩权试点县主管部门根据省经济和信息化委通知要求报送申报材料。</w:t>
      </w:r>
    </w:p>
    <w:p w14:paraId="5891A731" w14:textId="77777777" w:rsidR="00F33D40" w:rsidRPr="00F33D40" w:rsidRDefault="00F33D40" w:rsidP="00F33D40">
      <w:pPr>
        <w:widowControl/>
        <w:spacing w:line="580" w:lineRule="atLeast"/>
        <w:ind w:firstLine="555"/>
        <w:jc w:val="left"/>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第六条</w:t>
      </w:r>
      <w:r w:rsidRPr="00F33D40">
        <w:rPr>
          <w:rFonts w:ascii="微软雅黑" w:eastAsia="微软雅黑" w:hAnsi="微软雅黑" w:cs="宋体" w:hint="eastAsia"/>
          <w:color w:val="000000"/>
          <w:kern w:val="0"/>
          <w:sz w:val="24"/>
          <w:szCs w:val="24"/>
        </w:rPr>
        <w:t> 申请</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技术中心的企业应当具备以下基本条件：</w:t>
      </w:r>
    </w:p>
    <w:p w14:paraId="66C7DAB1"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（一）四川省行政区域内注册，具有独立法人资格的企业；</w:t>
      </w:r>
    </w:p>
    <w:p w14:paraId="1C1D949D"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（二）企业在行业中具有显著的发展优势和竞争优势，具有较强的技术创新能力和水平；</w:t>
      </w:r>
    </w:p>
    <w:p w14:paraId="35DB1C7C"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（三）企业具有较好的技术创新机制，企业技术中心组织体系健全，创新效率高、创新效益好；</w:t>
      </w:r>
    </w:p>
    <w:p w14:paraId="31E08588"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四）有较高的研究开发投入，年度研究与试验发展经费支出额不低于300万元；拥有技术水平高、实践经验丰富的技术带头人，专职研究与试验发展人员数不少于30人；研发投入及研究与试验发展人员数不低于行业平均水平。</w:t>
      </w:r>
    </w:p>
    <w:p w14:paraId="0D6F8CFF"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（五）具有较完善的研究、开发、试验条件，技术开发仪器设备原值不低于300万元；有较好的技术积累，重视前沿技术开发，具有开展高水平技术创新活动的能力；</w:t>
      </w:r>
    </w:p>
    <w:p w14:paraId="0B80DD45" w14:textId="77777777" w:rsidR="00F33D40" w:rsidRPr="00F33D40" w:rsidRDefault="00F33D40" w:rsidP="00F33D40">
      <w:pPr>
        <w:widowControl/>
        <w:spacing w:line="56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（六）已组建企业技术中心并正常运行一年以上。所在市州已开展市企业技术中心认定工作的企业原则上应具有市级企业技术中心认定。</w:t>
      </w:r>
    </w:p>
    <w:p w14:paraId="69B5503E" w14:textId="77777777" w:rsidR="00F33D40" w:rsidRPr="00F33D40" w:rsidRDefault="00F33D40" w:rsidP="00F33D40">
      <w:pPr>
        <w:widowControl/>
        <w:spacing w:line="560" w:lineRule="atLeast"/>
        <w:ind w:firstLine="555"/>
        <w:jc w:val="lef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lastRenderedPageBreak/>
        <w:t>（七）企业在申请受理截止日期前三年内，不得存在下列情况：</w:t>
      </w:r>
    </w:p>
    <w:p w14:paraId="6BD452DB" w14:textId="77777777" w:rsidR="00F33D40" w:rsidRPr="00F33D40" w:rsidRDefault="00F33D40" w:rsidP="00F33D40">
      <w:pPr>
        <w:widowControl/>
        <w:spacing w:line="56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1. 因违反税收征管法及有关法律、行政法规，构成偷税、骗取出口退税等严重税收违法行为；</w:t>
      </w:r>
    </w:p>
    <w:p w14:paraId="4B7B90D2" w14:textId="77777777" w:rsidR="00F33D40" w:rsidRPr="00F33D40" w:rsidRDefault="00F33D40" w:rsidP="00F33D40">
      <w:pPr>
        <w:widowControl/>
        <w:spacing w:line="56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2. 因违反海关法及有关法律、行政法规，构成走私行为，受到刑事、行政处罚，或因严重违反海关监管规定受到行政处罚；</w:t>
      </w:r>
    </w:p>
    <w:p w14:paraId="5E6FAC77" w14:textId="77777777" w:rsidR="00F33D40" w:rsidRPr="00F33D40" w:rsidRDefault="00F33D40" w:rsidP="00F33D40">
      <w:pPr>
        <w:widowControl/>
        <w:spacing w:line="56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3. 司法、行政机关认定的其他严重违法失信行为。</w:t>
      </w:r>
    </w:p>
    <w:p w14:paraId="7D384BCF" w14:textId="77777777" w:rsidR="00F33D40" w:rsidRPr="00F33D40" w:rsidRDefault="00F33D40" w:rsidP="00F33D40">
      <w:pPr>
        <w:widowControl/>
        <w:spacing w:line="560" w:lineRule="atLeast"/>
        <w:ind w:firstLine="48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（八）对新形势下新业态、新模式企业适当放宽指标要求。</w:t>
      </w:r>
    </w:p>
    <w:p w14:paraId="73C14AB1" w14:textId="77777777" w:rsidR="00F33D40" w:rsidRPr="00F33D40" w:rsidRDefault="00F33D40" w:rsidP="00F33D40">
      <w:pPr>
        <w:widowControl/>
        <w:spacing w:line="560" w:lineRule="atLeast"/>
        <w:ind w:firstLine="555"/>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第七条</w:t>
      </w:r>
      <w:r w:rsidRPr="00F33D40">
        <w:rPr>
          <w:rFonts w:ascii="微软雅黑" w:eastAsia="微软雅黑" w:hAnsi="微软雅黑" w:cs="宋体" w:hint="eastAsia"/>
          <w:color w:val="000000"/>
          <w:kern w:val="0"/>
          <w:sz w:val="24"/>
          <w:szCs w:val="24"/>
        </w:rPr>
        <w:t> </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技术中心认定程序：</w:t>
      </w:r>
    </w:p>
    <w:p w14:paraId="595B6A4D" w14:textId="77777777" w:rsidR="00F33D40" w:rsidRPr="00F33D40" w:rsidRDefault="00F33D40" w:rsidP="00F33D40">
      <w:pPr>
        <w:widowControl/>
        <w:spacing w:line="56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（一）企业向市（州）或扩权试点县主管部门提出申请并按要求上报申请材料，申请材料包括：《四川省企业技术中心申请报告》（以下简称申请报告）和《四川省企业技术中心评价表》及必要的证明材料。</w:t>
      </w:r>
    </w:p>
    <w:p w14:paraId="2309EB82" w14:textId="77777777" w:rsidR="00F33D40" w:rsidRPr="00F33D40" w:rsidRDefault="00F33D40" w:rsidP="00F33D40">
      <w:pPr>
        <w:widowControl/>
        <w:spacing w:line="56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（二） 各市（州）或扩权试点县主管部门对企业上报的申请材料进行审查，按照本办法及当年省经济和信息化委发布的通知，确定推荐企业名单，并将推荐企业的申请材料和审查意见（一式两份）在规定的时间内上报省经济和信息化委。</w:t>
      </w:r>
    </w:p>
    <w:p w14:paraId="4E9CA468" w14:textId="77777777" w:rsidR="00F33D40" w:rsidRPr="00F33D40" w:rsidRDefault="00F33D40" w:rsidP="00F33D40">
      <w:pPr>
        <w:widowControl/>
        <w:spacing w:line="56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（三）省经济和信息化委组织专家或委托第三方机构，按照评价指标体系对企业申请材料进行初评。</w:t>
      </w:r>
    </w:p>
    <w:p w14:paraId="6A5BFCE0" w14:textId="77777777" w:rsidR="00F33D40" w:rsidRPr="00F33D40" w:rsidRDefault="00F33D40" w:rsidP="00F33D40">
      <w:pPr>
        <w:widowControl/>
        <w:spacing w:line="56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（四）依据初评结果，省经济和信息化委组织专家或委托第三方机构组织专家对初评合格的企业技术中心进行评审，</w:t>
      </w:r>
      <w:proofErr w:type="gramStart"/>
      <w:r w:rsidRPr="00F33D40">
        <w:rPr>
          <w:rFonts w:ascii="微软雅黑" w:eastAsia="微软雅黑" w:hAnsi="微软雅黑" w:cs="宋体" w:hint="eastAsia"/>
          <w:color w:val="000000"/>
          <w:kern w:val="0"/>
          <w:sz w:val="24"/>
          <w:szCs w:val="24"/>
        </w:rPr>
        <w:t>确定省企业</w:t>
      </w:r>
      <w:proofErr w:type="gramEnd"/>
      <w:r w:rsidRPr="00F33D40">
        <w:rPr>
          <w:rFonts w:ascii="微软雅黑" w:eastAsia="微软雅黑" w:hAnsi="微软雅黑" w:cs="宋体" w:hint="eastAsia"/>
          <w:color w:val="000000"/>
          <w:kern w:val="0"/>
          <w:sz w:val="24"/>
          <w:szCs w:val="24"/>
        </w:rPr>
        <w:t>技术中心初步名单。</w:t>
      </w:r>
    </w:p>
    <w:p w14:paraId="66010812" w14:textId="77777777" w:rsidR="00F33D40" w:rsidRPr="00F33D40" w:rsidRDefault="00F33D40" w:rsidP="00F33D40">
      <w:pPr>
        <w:widowControl/>
        <w:spacing w:line="580" w:lineRule="atLeast"/>
        <w:ind w:firstLine="645"/>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（五）依据初评、专家评审结果，省经济和信息化委会同省发展改革委、科技厅、财政厅、省地税局、成都海关对申请认定企业进行现场核查。</w:t>
      </w:r>
    </w:p>
    <w:p w14:paraId="509F8D8E" w14:textId="77777777" w:rsidR="00F33D40" w:rsidRPr="00F33D40" w:rsidRDefault="00F33D40" w:rsidP="00F33D40">
      <w:pPr>
        <w:widowControl/>
        <w:spacing w:line="580" w:lineRule="atLeast"/>
        <w:ind w:firstLine="645"/>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lastRenderedPageBreak/>
        <w:t>（六）省经济和信息化委会同省发展改革委、科技厅、财政厅、省地税局、成都海关依据国家产业政策、初评结果、专家评审意见及现场抽查核实情况等进行综合评估后，择优</w:t>
      </w:r>
      <w:proofErr w:type="gramStart"/>
      <w:r w:rsidRPr="00F33D40">
        <w:rPr>
          <w:rFonts w:ascii="微软雅黑" w:eastAsia="微软雅黑" w:hAnsi="微软雅黑" w:cs="宋体" w:hint="eastAsia"/>
          <w:color w:val="000000"/>
          <w:kern w:val="0"/>
          <w:sz w:val="24"/>
          <w:szCs w:val="24"/>
        </w:rPr>
        <w:t>确定省企业</w:t>
      </w:r>
      <w:proofErr w:type="gramEnd"/>
      <w:r w:rsidRPr="00F33D40">
        <w:rPr>
          <w:rFonts w:ascii="微软雅黑" w:eastAsia="微软雅黑" w:hAnsi="微软雅黑" w:cs="宋体" w:hint="eastAsia"/>
          <w:color w:val="000000"/>
          <w:kern w:val="0"/>
          <w:sz w:val="24"/>
          <w:szCs w:val="24"/>
        </w:rPr>
        <w:t>技术中心名单。</w:t>
      </w:r>
    </w:p>
    <w:p w14:paraId="14065376" w14:textId="77777777" w:rsidR="00F33D40" w:rsidRPr="00F33D40" w:rsidRDefault="00F33D40" w:rsidP="00F33D40">
      <w:pPr>
        <w:widowControl/>
        <w:spacing w:line="580" w:lineRule="atLeast"/>
        <w:ind w:firstLine="555"/>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第八条</w:t>
      </w:r>
      <w:r w:rsidRPr="00F33D40">
        <w:rPr>
          <w:rFonts w:ascii="微软雅黑" w:eastAsia="微软雅黑" w:hAnsi="微软雅黑" w:cs="宋体" w:hint="eastAsia"/>
          <w:color w:val="000000"/>
          <w:kern w:val="0"/>
          <w:sz w:val="24"/>
          <w:szCs w:val="24"/>
        </w:rPr>
        <w:t> 省经济和信息化委会同省发展改革委、科技厅、财政厅、省地税局、成都海关根据确认认定结果进行公示、联合发文，并在省经济和信息化委官方网站予以公布。</w:t>
      </w:r>
    </w:p>
    <w:p w14:paraId="51BC854C" w14:textId="77777777" w:rsidR="00F33D40" w:rsidRPr="00F33D40" w:rsidRDefault="00F33D40" w:rsidP="00F33D40">
      <w:pPr>
        <w:widowControl/>
        <w:spacing w:line="580" w:lineRule="atLeast"/>
        <w:ind w:firstLine="555"/>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w:t>
      </w:r>
    </w:p>
    <w:p w14:paraId="48528DA0" w14:textId="77777777" w:rsidR="00F33D40" w:rsidRPr="00F33D40" w:rsidRDefault="00F33D40" w:rsidP="00F33D40">
      <w:pPr>
        <w:widowControl/>
        <w:spacing w:line="580" w:lineRule="atLeast"/>
        <w:jc w:val="center"/>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第三章 运行评价</w:t>
      </w:r>
    </w:p>
    <w:p w14:paraId="221004E0" w14:textId="77777777" w:rsidR="00F33D40" w:rsidRPr="00F33D40" w:rsidRDefault="00F33D40" w:rsidP="00F33D40">
      <w:pPr>
        <w:widowControl/>
        <w:spacing w:line="580" w:lineRule="atLeast"/>
        <w:ind w:firstLine="639"/>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第九条</w:t>
      </w:r>
      <w:r w:rsidRPr="00F33D40">
        <w:rPr>
          <w:rFonts w:ascii="微软雅黑" w:eastAsia="微软雅黑" w:hAnsi="微软雅黑" w:cs="宋体" w:hint="eastAsia"/>
          <w:color w:val="000000"/>
          <w:kern w:val="0"/>
          <w:sz w:val="24"/>
          <w:szCs w:val="24"/>
        </w:rPr>
        <w:t> 省经济和信息化委对</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技术中心每两年组织一次运行评价。</w:t>
      </w:r>
    </w:p>
    <w:p w14:paraId="5B97BF5E"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技术中心在评价当年自查、总结后，报送评价材料。对运行评价按认定标准执行，评价材料主要包括《四川省企业技术中心工作总结》、《四川省企业技术中心评价表》及必要的证明材料。</w:t>
      </w:r>
    </w:p>
    <w:p w14:paraId="6795699D"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母公司在报送评价材料时，需对下属具有省级企业技术中心认定的子公司相关数据</w:t>
      </w:r>
      <w:proofErr w:type="gramStart"/>
      <w:r w:rsidRPr="00F33D40">
        <w:rPr>
          <w:rFonts w:ascii="微软雅黑" w:eastAsia="微软雅黑" w:hAnsi="微软雅黑" w:cs="宋体" w:hint="eastAsia"/>
          <w:color w:val="000000"/>
          <w:kern w:val="0"/>
          <w:sz w:val="24"/>
          <w:szCs w:val="24"/>
        </w:rPr>
        <w:t>作出</w:t>
      </w:r>
      <w:proofErr w:type="gramEnd"/>
      <w:r w:rsidRPr="00F33D40">
        <w:rPr>
          <w:rFonts w:ascii="微软雅黑" w:eastAsia="微软雅黑" w:hAnsi="微软雅黑" w:cs="宋体" w:hint="eastAsia"/>
          <w:color w:val="000000"/>
          <w:kern w:val="0"/>
          <w:sz w:val="24"/>
          <w:szCs w:val="24"/>
        </w:rPr>
        <w:t>说明。</w:t>
      </w:r>
    </w:p>
    <w:p w14:paraId="6A019E86" w14:textId="77777777" w:rsidR="00F33D40" w:rsidRPr="00F33D40" w:rsidRDefault="00F33D40" w:rsidP="00F33D40">
      <w:pPr>
        <w:widowControl/>
        <w:spacing w:line="580" w:lineRule="atLeast"/>
        <w:ind w:firstLine="643"/>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第十条</w:t>
      </w:r>
      <w:r w:rsidRPr="00F33D40">
        <w:rPr>
          <w:rFonts w:ascii="微软雅黑" w:eastAsia="微软雅黑" w:hAnsi="微软雅黑" w:cs="宋体" w:hint="eastAsia"/>
          <w:color w:val="000000"/>
          <w:kern w:val="0"/>
          <w:sz w:val="24"/>
          <w:szCs w:val="24"/>
        </w:rPr>
        <w:t> 各企业对技术中心评价材料真实性出具意见，并于评价年度的4月30日前报送到各市（州）或扩权试点县主管部门，各市（州）或扩权试点县主管部门对企业的评价材料进行审查，出具审查意见并于5月15日前将评价材料报送省经济和信息化委。</w:t>
      </w:r>
    </w:p>
    <w:p w14:paraId="5B2B697F" w14:textId="77777777" w:rsidR="00F33D40" w:rsidRPr="00F33D40" w:rsidRDefault="00F33D40" w:rsidP="00F33D40">
      <w:pPr>
        <w:widowControl/>
        <w:spacing w:line="580" w:lineRule="atLeast"/>
        <w:ind w:firstLine="630"/>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第十一条</w:t>
      </w:r>
      <w:r w:rsidRPr="00F33D40">
        <w:rPr>
          <w:rFonts w:ascii="微软雅黑" w:eastAsia="微软雅黑" w:hAnsi="微软雅黑" w:cs="宋体" w:hint="eastAsia"/>
          <w:color w:val="000000"/>
          <w:kern w:val="0"/>
          <w:sz w:val="24"/>
          <w:szCs w:val="24"/>
        </w:rPr>
        <w:t> 省经济和信息化委委托第三方机构，依据评价指标体系对各市（州）或扩权试点县主管部门报送的评价材料进行评价，并形成评价结果和评价报告。</w:t>
      </w:r>
    </w:p>
    <w:p w14:paraId="2B7B1FC7"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lastRenderedPageBreak/>
        <w:t>省经济和信息化</w:t>
      </w:r>
      <w:proofErr w:type="gramStart"/>
      <w:r w:rsidRPr="00F33D40">
        <w:rPr>
          <w:rFonts w:ascii="微软雅黑" w:eastAsia="微软雅黑" w:hAnsi="微软雅黑" w:cs="宋体" w:hint="eastAsia"/>
          <w:color w:val="000000"/>
          <w:kern w:val="0"/>
          <w:sz w:val="24"/>
          <w:szCs w:val="24"/>
        </w:rPr>
        <w:t>委每年对省企业</w:t>
      </w:r>
      <w:proofErr w:type="gramEnd"/>
      <w:r w:rsidRPr="00F33D40">
        <w:rPr>
          <w:rFonts w:ascii="微软雅黑" w:eastAsia="微软雅黑" w:hAnsi="微软雅黑" w:cs="宋体" w:hint="eastAsia"/>
          <w:color w:val="000000"/>
          <w:kern w:val="0"/>
          <w:sz w:val="24"/>
          <w:szCs w:val="24"/>
        </w:rPr>
        <w:t>技术中心运行情况随机抽查，抽查按“双随机一公开”的办法。</w:t>
      </w:r>
    </w:p>
    <w:p w14:paraId="2D7EEBB0" w14:textId="77777777" w:rsidR="00F33D40" w:rsidRPr="00F33D40" w:rsidRDefault="00F33D40" w:rsidP="00F33D40">
      <w:pPr>
        <w:widowControl/>
        <w:spacing w:line="580" w:lineRule="atLeast"/>
        <w:ind w:firstLine="630"/>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第十二条</w:t>
      </w:r>
      <w:r w:rsidRPr="00F33D40">
        <w:rPr>
          <w:rFonts w:ascii="微软雅黑" w:eastAsia="微软雅黑" w:hAnsi="微软雅黑" w:cs="宋体" w:hint="eastAsia"/>
          <w:color w:val="000000"/>
          <w:kern w:val="0"/>
          <w:sz w:val="24"/>
          <w:szCs w:val="24"/>
        </w:rPr>
        <w:t> </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技术中心评价结果分为优秀、良好、基本合格和不合格：</w:t>
      </w:r>
    </w:p>
    <w:p w14:paraId="792482F8" w14:textId="77777777" w:rsidR="00F33D40" w:rsidRPr="00F33D40" w:rsidRDefault="00F33D40" w:rsidP="00F33D40">
      <w:pPr>
        <w:widowControl/>
        <w:spacing w:line="580" w:lineRule="atLeast"/>
        <w:ind w:firstLine="80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（一）评价得分90分及以上为优秀；</w:t>
      </w:r>
    </w:p>
    <w:p w14:paraId="08C1619A" w14:textId="77777777" w:rsidR="00F33D40" w:rsidRPr="00F33D40" w:rsidRDefault="00F33D40" w:rsidP="00F33D40">
      <w:pPr>
        <w:widowControl/>
        <w:spacing w:line="580" w:lineRule="atLeast"/>
        <w:ind w:firstLine="80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（二）评价得分65 分至90分（不含90分）为良好；</w:t>
      </w:r>
    </w:p>
    <w:p w14:paraId="7DCA0E02" w14:textId="77777777" w:rsidR="00F33D40" w:rsidRPr="00F33D40" w:rsidRDefault="00F33D40" w:rsidP="00F33D40">
      <w:pPr>
        <w:widowControl/>
        <w:spacing w:line="580" w:lineRule="atLeast"/>
        <w:ind w:firstLine="80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（三）评价得分60分至65分，（不含65分）为基本合格；</w:t>
      </w:r>
    </w:p>
    <w:p w14:paraId="4B88645A" w14:textId="77777777" w:rsidR="00F33D40" w:rsidRPr="00F33D40" w:rsidRDefault="00F33D40" w:rsidP="00F33D40">
      <w:pPr>
        <w:widowControl/>
        <w:spacing w:line="580" w:lineRule="atLeast"/>
        <w:ind w:firstLine="80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（四）评价得分低于60分为不合格。</w:t>
      </w:r>
    </w:p>
    <w:p w14:paraId="4A7EB3D3" w14:textId="77777777" w:rsidR="00F33D40" w:rsidRPr="00F33D40" w:rsidRDefault="00F33D40" w:rsidP="00F33D40">
      <w:pPr>
        <w:widowControl/>
        <w:spacing w:line="580" w:lineRule="atLeast"/>
        <w:ind w:firstLine="630"/>
        <w:jc w:val="left"/>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第十三条</w:t>
      </w:r>
      <w:r w:rsidRPr="00F33D40">
        <w:rPr>
          <w:rFonts w:ascii="微软雅黑" w:eastAsia="微软雅黑" w:hAnsi="微软雅黑" w:cs="宋体" w:hint="eastAsia"/>
          <w:color w:val="000000"/>
          <w:kern w:val="0"/>
          <w:sz w:val="24"/>
          <w:szCs w:val="24"/>
        </w:rPr>
        <w:t>省经济和信息化委会同省发展改革委、科技厅、财政厅、省地税局、成都海关对评价结果进行审核确认并行文公布。</w:t>
      </w:r>
    </w:p>
    <w:p w14:paraId="79C58B67" w14:textId="77777777" w:rsidR="00F33D40" w:rsidRPr="00F33D40" w:rsidRDefault="00F33D40" w:rsidP="00F33D40">
      <w:pPr>
        <w:widowControl/>
        <w:spacing w:line="580" w:lineRule="atLeast"/>
        <w:ind w:firstLine="627"/>
        <w:jc w:val="lef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w:t>
      </w:r>
    </w:p>
    <w:p w14:paraId="2A81E1E2" w14:textId="77777777" w:rsidR="00F33D40" w:rsidRPr="00F33D40" w:rsidRDefault="00F33D40" w:rsidP="00F33D40">
      <w:pPr>
        <w:widowControl/>
        <w:spacing w:line="580" w:lineRule="atLeast"/>
        <w:jc w:val="center"/>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第四章 鼓励政策</w:t>
      </w:r>
    </w:p>
    <w:p w14:paraId="53C3717E" w14:textId="77777777" w:rsidR="00F33D40" w:rsidRPr="00F33D40" w:rsidRDefault="00F33D40" w:rsidP="00F33D40">
      <w:pPr>
        <w:widowControl/>
        <w:spacing w:line="580" w:lineRule="atLeast"/>
        <w:ind w:firstLine="643"/>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第十四条</w:t>
      </w:r>
      <w:r w:rsidRPr="00F33D40">
        <w:rPr>
          <w:rFonts w:ascii="微软雅黑" w:eastAsia="微软雅黑" w:hAnsi="微软雅黑" w:cs="宋体" w:hint="eastAsia"/>
          <w:color w:val="000000"/>
          <w:kern w:val="0"/>
          <w:sz w:val="24"/>
          <w:szCs w:val="24"/>
        </w:rPr>
        <w:t> 省经济和信息化委结合企业技术中心创新能力建设等工作，对</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技术中心予以支持。</w:t>
      </w:r>
    </w:p>
    <w:p w14:paraId="0BE5D92D" w14:textId="77777777" w:rsidR="00F33D40" w:rsidRPr="00F33D40" w:rsidRDefault="00F33D40" w:rsidP="00F33D40">
      <w:pPr>
        <w:widowControl/>
        <w:spacing w:line="580" w:lineRule="atLeast"/>
        <w:ind w:firstLine="630"/>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第十五条</w:t>
      </w:r>
      <w:r w:rsidRPr="00F33D40">
        <w:rPr>
          <w:rFonts w:ascii="微软雅黑" w:eastAsia="微软雅黑" w:hAnsi="微软雅黑" w:cs="宋体" w:hint="eastAsia"/>
          <w:color w:val="000000"/>
          <w:kern w:val="0"/>
          <w:sz w:val="24"/>
          <w:szCs w:val="24"/>
        </w:rPr>
        <w:t> 支持</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技术中心承担地方财政科技计划（专项、基金等）的研发任务。</w:t>
      </w:r>
    </w:p>
    <w:p w14:paraId="0BC94421" w14:textId="77777777" w:rsidR="00F33D40" w:rsidRPr="00F33D40" w:rsidRDefault="00F33D40" w:rsidP="00F33D40">
      <w:pPr>
        <w:widowControl/>
        <w:spacing w:line="580" w:lineRule="atLeas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w:t>
      </w:r>
    </w:p>
    <w:p w14:paraId="434762FB" w14:textId="77777777" w:rsidR="00F33D40" w:rsidRPr="00F33D40" w:rsidRDefault="00F33D40" w:rsidP="00F33D40">
      <w:pPr>
        <w:widowControl/>
        <w:spacing w:line="580" w:lineRule="atLeast"/>
        <w:jc w:val="center"/>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第五章 监督管理</w:t>
      </w:r>
    </w:p>
    <w:p w14:paraId="24AD0B7B" w14:textId="77777777" w:rsidR="00F33D40" w:rsidRPr="00F33D40" w:rsidRDefault="00F33D40" w:rsidP="00F33D40">
      <w:pPr>
        <w:widowControl/>
        <w:spacing w:line="580" w:lineRule="atLeast"/>
        <w:ind w:firstLine="643"/>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第十六条</w:t>
      </w:r>
      <w:r w:rsidRPr="00F33D40">
        <w:rPr>
          <w:rFonts w:ascii="微软雅黑" w:eastAsia="微软雅黑" w:hAnsi="微软雅黑" w:cs="宋体" w:hint="eastAsia"/>
          <w:color w:val="000000"/>
          <w:kern w:val="0"/>
          <w:sz w:val="24"/>
          <w:szCs w:val="24"/>
        </w:rPr>
        <w:t> 各市（州）或扩权试点县主管部门应于每年7月30日前，将</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技术中心所在企业发生更名、重组等变更情况报送省经济和信息化委，同时抄送各市（州）或扩权试点县同级管理部门。</w:t>
      </w:r>
    </w:p>
    <w:p w14:paraId="1D9E2E6D" w14:textId="77777777" w:rsidR="00F33D40" w:rsidRPr="00F33D40" w:rsidRDefault="00F33D40" w:rsidP="00F33D40">
      <w:pPr>
        <w:widowControl/>
        <w:spacing w:line="580" w:lineRule="atLeast"/>
        <w:ind w:firstLine="630"/>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lastRenderedPageBreak/>
        <w:t>第十七条</w:t>
      </w:r>
      <w:r w:rsidRPr="00F33D40">
        <w:rPr>
          <w:rFonts w:ascii="微软雅黑" w:eastAsia="微软雅黑" w:hAnsi="微软雅黑" w:cs="宋体" w:hint="eastAsia"/>
          <w:color w:val="000000"/>
          <w:kern w:val="0"/>
          <w:sz w:val="24"/>
          <w:szCs w:val="24"/>
        </w:rPr>
        <w:t> 省经济和信息化委会同省发展改革委、科技厅、财政厅、省地税局、成都海关，每年对各市（州）或扩权试点县主管部门报送的企业变更情况进行确认。</w:t>
      </w:r>
    </w:p>
    <w:p w14:paraId="5867BCAD" w14:textId="77777777" w:rsidR="00F33D40" w:rsidRPr="00F33D40" w:rsidRDefault="00F33D40" w:rsidP="00F33D40">
      <w:pPr>
        <w:widowControl/>
        <w:spacing w:line="580" w:lineRule="atLeast"/>
        <w:ind w:firstLine="643"/>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第十八条</w:t>
      </w:r>
      <w:r w:rsidRPr="00F33D40">
        <w:rPr>
          <w:rFonts w:ascii="微软雅黑" w:eastAsia="微软雅黑" w:hAnsi="微软雅黑" w:cs="宋体" w:hint="eastAsia"/>
          <w:color w:val="000000"/>
          <w:kern w:val="0"/>
          <w:sz w:val="24"/>
          <w:szCs w:val="24"/>
        </w:rPr>
        <w:t> 有下列情况之一的，撤销</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技术中心资格：</w:t>
      </w:r>
    </w:p>
    <w:p w14:paraId="1EBE11B7"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（一）运行评价不合格；</w:t>
      </w:r>
    </w:p>
    <w:p w14:paraId="7CBA5D4A"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（二）逾期未报送评价材料；</w:t>
      </w:r>
    </w:p>
    <w:p w14:paraId="1499C87C"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（三）提供虚假材料和数据；</w:t>
      </w:r>
    </w:p>
    <w:p w14:paraId="6AAD0666"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（四）主要由于技术原因发生重大质量、安全事故；</w:t>
      </w:r>
    </w:p>
    <w:p w14:paraId="0ADB7098"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（五）因违反海关法及有关法律、行政法规，构成走私行为，受到刑事、行政处罚，或因严重违反海关监管规定受到行政处罚；</w:t>
      </w:r>
    </w:p>
    <w:p w14:paraId="1F7B1C29" w14:textId="77777777" w:rsidR="00F33D40" w:rsidRPr="00F33D40" w:rsidRDefault="00F33D40" w:rsidP="00F33D40">
      <w:pPr>
        <w:widowControl/>
        <w:spacing w:line="580" w:lineRule="atLeas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（六）因违反税收征管法及有关法律、行政法规，构成偷税、骗取出口退税等严重税收违法行为；</w:t>
      </w:r>
    </w:p>
    <w:p w14:paraId="50F4196D" w14:textId="77777777" w:rsidR="00F33D40" w:rsidRPr="00F33D40" w:rsidRDefault="00F33D40" w:rsidP="00F33D40">
      <w:pPr>
        <w:widowControl/>
        <w:spacing w:line="580" w:lineRule="atLeast"/>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（七）司法、行政机关认定的其他严重违法失信行为；</w:t>
      </w:r>
    </w:p>
    <w:p w14:paraId="3F803DD8"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（八）企业被依法终止。</w:t>
      </w:r>
    </w:p>
    <w:p w14:paraId="35D159BE" w14:textId="77777777" w:rsidR="00F33D40" w:rsidRPr="00F33D40" w:rsidRDefault="00F33D40" w:rsidP="00F33D40">
      <w:pPr>
        <w:widowControl/>
        <w:spacing w:line="580" w:lineRule="atLeast"/>
        <w:ind w:firstLine="630"/>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第十九条</w:t>
      </w:r>
      <w:r w:rsidRPr="00F33D40">
        <w:rPr>
          <w:rFonts w:ascii="微软雅黑" w:eastAsia="微软雅黑" w:hAnsi="微软雅黑" w:cs="宋体" w:hint="eastAsia"/>
          <w:color w:val="000000"/>
          <w:kern w:val="0"/>
          <w:sz w:val="24"/>
          <w:szCs w:val="24"/>
        </w:rPr>
        <w:t> 因本办法第十八条第（一）、（二）项所列原因被撤销</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技术中心资格的，自撤销之日起，各市（州）或扩权试点县主管部门两年内不得再次推荐该企业申报</w:t>
      </w:r>
      <w:proofErr w:type="gramStart"/>
      <w:r w:rsidRPr="00F33D40">
        <w:rPr>
          <w:rFonts w:ascii="微软雅黑" w:eastAsia="微软雅黑" w:hAnsi="微软雅黑" w:cs="宋体" w:hint="eastAsia"/>
          <w:color w:val="000000"/>
          <w:kern w:val="0"/>
          <w:sz w:val="24"/>
          <w:szCs w:val="24"/>
        </w:rPr>
        <w:t>省企</w:t>
      </w:r>
      <w:proofErr w:type="gramEnd"/>
      <w:r w:rsidRPr="00F33D40">
        <w:rPr>
          <w:rFonts w:ascii="微软雅黑" w:eastAsia="微软雅黑" w:hAnsi="微软雅黑" w:cs="宋体" w:hint="eastAsia"/>
          <w:color w:val="000000"/>
          <w:kern w:val="0"/>
          <w:sz w:val="24"/>
          <w:szCs w:val="24"/>
        </w:rPr>
        <w:t>业技术中心。</w:t>
      </w:r>
    </w:p>
    <w:p w14:paraId="3B6C926F"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因本办法第十八条第（三）至（七）项所列原因被撤销</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技术中心资格的，自撤销之日起，各市（州）或扩权试点县主管部门三年内不得再次推荐该企业申报</w:t>
      </w:r>
      <w:proofErr w:type="gramStart"/>
      <w:r w:rsidRPr="00F33D40">
        <w:rPr>
          <w:rFonts w:ascii="微软雅黑" w:eastAsia="微软雅黑" w:hAnsi="微软雅黑" w:cs="宋体" w:hint="eastAsia"/>
          <w:color w:val="000000"/>
          <w:kern w:val="0"/>
          <w:sz w:val="24"/>
          <w:szCs w:val="24"/>
        </w:rPr>
        <w:t>省企</w:t>
      </w:r>
      <w:proofErr w:type="gramEnd"/>
      <w:r w:rsidRPr="00F33D40">
        <w:rPr>
          <w:rFonts w:ascii="微软雅黑" w:eastAsia="微软雅黑" w:hAnsi="微软雅黑" w:cs="宋体" w:hint="eastAsia"/>
          <w:color w:val="000000"/>
          <w:kern w:val="0"/>
          <w:sz w:val="24"/>
          <w:szCs w:val="24"/>
        </w:rPr>
        <w:t>业技术中心。</w:t>
      </w:r>
    </w:p>
    <w:p w14:paraId="4F3A7FF2" w14:textId="77777777" w:rsidR="00F33D40" w:rsidRPr="00F33D40" w:rsidRDefault="00F33D40" w:rsidP="00F33D40">
      <w:pPr>
        <w:widowControl/>
        <w:spacing w:line="580" w:lineRule="atLeast"/>
        <w:ind w:firstLine="640"/>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各市（州）或扩权试点县主管部门负责指导和督促评价基本合格的</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技术中心的改进工作。</w:t>
      </w:r>
    </w:p>
    <w:p w14:paraId="124B35AB" w14:textId="77777777" w:rsidR="00F33D40" w:rsidRPr="00F33D40" w:rsidRDefault="00F33D40" w:rsidP="00F33D40">
      <w:pPr>
        <w:widowControl/>
        <w:spacing w:line="580" w:lineRule="atLeast"/>
        <w:ind w:firstLine="636"/>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lastRenderedPageBreak/>
        <w:t>第二十条</w:t>
      </w:r>
      <w:r w:rsidRPr="00F33D40">
        <w:rPr>
          <w:rFonts w:ascii="微软雅黑" w:eastAsia="微软雅黑" w:hAnsi="微软雅黑" w:cs="宋体" w:hint="eastAsia"/>
          <w:color w:val="000000"/>
          <w:kern w:val="0"/>
          <w:sz w:val="24"/>
          <w:szCs w:val="24"/>
        </w:rPr>
        <w:t> </w:t>
      </w:r>
      <w:r w:rsidRPr="00F33D40">
        <w:rPr>
          <w:rFonts w:ascii="微软雅黑" w:eastAsia="微软雅黑" w:hAnsi="微软雅黑" w:cs="宋体" w:hint="eastAsia"/>
          <w:color w:val="000000"/>
          <w:spacing w:val="-2"/>
          <w:kern w:val="0"/>
          <w:sz w:val="24"/>
          <w:szCs w:val="24"/>
        </w:rPr>
        <w:t>省经济和信息化委会同</w:t>
      </w:r>
      <w:r w:rsidRPr="00F33D40">
        <w:rPr>
          <w:rFonts w:ascii="微软雅黑" w:eastAsia="微软雅黑" w:hAnsi="微软雅黑" w:cs="宋体" w:hint="eastAsia"/>
          <w:color w:val="000000"/>
          <w:kern w:val="0"/>
          <w:sz w:val="24"/>
          <w:szCs w:val="24"/>
        </w:rPr>
        <w:t>省发展改革委、</w:t>
      </w:r>
      <w:r w:rsidRPr="00F33D40">
        <w:rPr>
          <w:rFonts w:ascii="微软雅黑" w:eastAsia="微软雅黑" w:hAnsi="微软雅黑" w:cs="宋体" w:hint="eastAsia"/>
          <w:color w:val="000000"/>
          <w:spacing w:val="-2"/>
          <w:kern w:val="0"/>
          <w:sz w:val="24"/>
          <w:szCs w:val="24"/>
        </w:rPr>
        <w:t>科技厅、财政厅、省地税局、成都海关联合发文，通报省级企业技术中心撤销和更名结果。</w:t>
      </w:r>
    </w:p>
    <w:p w14:paraId="6A5690EC" w14:textId="77777777" w:rsidR="00F33D40" w:rsidRPr="00F33D40" w:rsidRDefault="00F33D40" w:rsidP="00F33D40">
      <w:pPr>
        <w:widowControl/>
        <w:spacing w:line="580" w:lineRule="atLeast"/>
        <w:ind w:firstLine="636"/>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 </w:t>
      </w:r>
    </w:p>
    <w:p w14:paraId="1602A998" w14:textId="77777777" w:rsidR="00F33D40" w:rsidRPr="00F33D40" w:rsidRDefault="00F33D40" w:rsidP="00F33D40">
      <w:pPr>
        <w:widowControl/>
        <w:spacing w:line="580" w:lineRule="atLeast"/>
        <w:jc w:val="center"/>
        <w:rPr>
          <w:rFonts w:ascii="微软雅黑" w:eastAsia="微软雅黑" w:hAnsi="微软雅黑" w:cs="宋体"/>
          <w:color w:val="000000"/>
          <w:kern w:val="0"/>
          <w:sz w:val="24"/>
          <w:szCs w:val="24"/>
        </w:rPr>
      </w:pPr>
      <w:r w:rsidRPr="00F33D40">
        <w:rPr>
          <w:rFonts w:ascii="微软雅黑" w:eastAsia="微软雅黑" w:hAnsi="微软雅黑" w:cs="宋体" w:hint="eastAsia"/>
          <w:color w:val="000000"/>
          <w:kern w:val="0"/>
          <w:sz w:val="24"/>
          <w:szCs w:val="24"/>
        </w:rPr>
        <w:t>第六章 附则</w:t>
      </w:r>
    </w:p>
    <w:p w14:paraId="7F30E95B" w14:textId="77777777" w:rsidR="00F33D40" w:rsidRPr="00F33D40" w:rsidRDefault="00F33D40" w:rsidP="00F33D40">
      <w:pPr>
        <w:widowControl/>
        <w:spacing w:line="580" w:lineRule="atLeast"/>
        <w:ind w:firstLine="630"/>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第二十一条</w:t>
      </w:r>
      <w:r w:rsidRPr="00F33D40">
        <w:rPr>
          <w:rFonts w:ascii="微软雅黑" w:eastAsia="微软雅黑" w:hAnsi="微软雅黑" w:cs="宋体" w:hint="eastAsia"/>
          <w:color w:val="000000"/>
          <w:kern w:val="0"/>
          <w:sz w:val="24"/>
          <w:szCs w:val="24"/>
        </w:rPr>
        <w:t> 各市（州）或扩权试点县主管部门可参考本办法，结合本地实际，在职责范围内依法制定相应政策，支持企业技术中心建设。</w:t>
      </w:r>
    </w:p>
    <w:p w14:paraId="127550A8" w14:textId="77777777" w:rsidR="00F33D40" w:rsidRPr="00F33D40" w:rsidRDefault="00F33D40" w:rsidP="00F33D40">
      <w:pPr>
        <w:widowControl/>
        <w:spacing w:line="580" w:lineRule="atLeast"/>
        <w:ind w:firstLine="630"/>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第二十二条</w:t>
      </w:r>
      <w:r w:rsidRPr="00F33D40">
        <w:rPr>
          <w:rFonts w:ascii="微软雅黑" w:eastAsia="微软雅黑" w:hAnsi="微软雅黑" w:cs="宋体" w:hint="eastAsia"/>
          <w:color w:val="000000"/>
          <w:kern w:val="0"/>
          <w:sz w:val="24"/>
          <w:szCs w:val="24"/>
        </w:rPr>
        <w:t> 本办法涉及的申请材料、评价材料和评价指标体系的内容和要求，由省经济和信息化</w:t>
      </w:r>
      <w:proofErr w:type="gramStart"/>
      <w:r w:rsidRPr="00F33D40">
        <w:rPr>
          <w:rFonts w:ascii="微软雅黑" w:eastAsia="微软雅黑" w:hAnsi="微软雅黑" w:cs="宋体" w:hint="eastAsia"/>
          <w:color w:val="000000"/>
          <w:kern w:val="0"/>
          <w:sz w:val="24"/>
          <w:szCs w:val="24"/>
        </w:rPr>
        <w:t>委商省</w:t>
      </w:r>
      <w:proofErr w:type="gramEnd"/>
      <w:r w:rsidRPr="00F33D40">
        <w:rPr>
          <w:rFonts w:ascii="微软雅黑" w:eastAsia="微软雅黑" w:hAnsi="微软雅黑" w:cs="宋体" w:hint="eastAsia"/>
          <w:color w:val="000000"/>
          <w:kern w:val="0"/>
          <w:sz w:val="24"/>
          <w:szCs w:val="24"/>
        </w:rPr>
        <w:t>发展改革委、科技厅、财政厅、省地税局、成都海关另行发布并适时调整。</w:t>
      </w:r>
    </w:p>
    <w:p w14:paraId="39A3F59A" w14:textId="77777777" w:rsidR="00F33D40" w:rsidRPr="00F33D40" w:rsidRDefault="00F33D40" w:rsidP="00F33D40">
      <w:pPr>
        <w:widowControl/>
        <w:spacing w:line="580" w:lineRule="atLeast"/>
        <w:ind w:firstLine="630"/>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第二十三条</w:t>
      </w:r>
      <w:r w:rsidRPr="00F33D40">
        <w:rPr>
          <w:rFonts w:ascii="微软雅黑" w:eastAsia="微软雅黑" w:hAnsi="微软雅黑" w:cs="宋体" w:hint="eastAsia"/>
          <w:color w:val="000000"/>
          <w:kern w:val="0"/>
          <w:sz w:val="24"/>
          <w:szCs w:val="24"/>
        </w:rPr>
        <w:t> 依据《中华人民共和国政府信息公开条例》，</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技术中心认定的相关信息向社会公开。</w:t>
      </w:r>
      <w:proofErr w:type="gramStart"/>
      <w:r w:rsidRPr="00F33D40">
        <w:rPr>
          <w:rFonts w:ascii="微软雅黑" w:eastAsia="微软雅黑" w:hAnsi="微软雅黑" w:cs="宋体" w:hint="eastAsia"/>
          <w:color w:val="000000"/>
          <w:kern w:val="0"/>
          <w:sz w:val="24"/>
          <w:szCs w:val="24"/>
        </w:rPr>
        <w:t>省企业</w:t>
      </w:r>
      <w:proofErr w:type="gramEnd"/>
      <w:r w:rsidRPr="00F33D40">
        <w:rPr>
          <w:rFonts w:ascii="微软雅黑" w:eastAsia="微软雅黑" w:hAnsi="微软雅黑" w:cs="宋体" w:hint="eastAsia"/>
          <w:color w:val="000000"/>
          <w:kern w:val="0"/>
          <w:sz w:val="24"/>
          <w:szCs w:val="24"/>
        </w:rPr>
        <w:t>技术中心的认定、运行评价等，实现网上办理。</w:t>
      </w:r>
    </w:p>
    <w:p w14:paraId="6211F41A" w14:textId="77777777" w:rsidR="00F33D40" w:rsidRPr="00F33D40" w:rsidRDefault="00F33D40" w:rsidP="00F33D40">
      <w:pPr>
        <w:widowControl/>
        <w:spacing w:line="580" w:lineRule="atLeast"/>
        <w:ind w:firstLine="630"/>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第二十四条</w:t>
      </w:r>
      <w:r w:rsidRPr="00F33D40">
        <w:rPr>
          <w:rFonts w:ascii="微软雅黑" w:eastAsia="微软雅黑" w:hAnsi="微软雅黑" w:cs="宋体" w:hint="eastAsia"/>
          <w:color w:val="000000"/>
          <w:kern w:val="0"/>
          <w:sz w:val="24"/>
          <w:szCs w:val="24"/>
        </w:rPr>
        <w:t> 本办法自发布之日起施行，有效期5年。原有的《四川省企业技术中心管理办法》（</w:t>
      </w:r>
      <w:proofErr w:type="gramStart"/>
      <w:r w:rsidRPr="00F33D40">
        <w:rPr>
          <w:rFonts w:ascii="微软雅黑" w:eastAsia="微软雅黑" w:hAnsi="微软雅黑" w:cs="宋体" w:hint="eastAsia"/>
          <w:color w:val="000000"/>
          <w:kern w:val="0"/>
          <w:sz w:val="24"/>
          <w:szCs w:val="24"/>
        </w:rPr>
        <w:t>川经〔2007〕</w:t>
      </w:r>
      <w:proofErr w:type="gramEnd"/>
      <w:r w:rsidRPr="00F33D40">
        <w:rPr>
          <w:rFonts w:ascii="微软雅黑" w:eastAsia="微软雅黑" w:hAnsi="微软雅黑" w:cs="宋体" w:hint="eastAsia"/>
          <w:color w:val="000000"/>
          <w:kern w:val="0"/>
          <w:sz w:val="24"/>
          <w:szCs w:val="24"/>
        </w:rPr>
        <w:t>1号）同时废止。</w:t>
      </w:r>
    </w:p>
    <w:p w14:paraId="65CE7D82" w14:textId="77777777" w:rsidR="00F33D40" w:rsidRPr="00F33D40" w:rsidRDefault="00F33D40" w:rsidP="00F33D40">
      <w:pPr>
        <w:widowControl/>
        <w:spacing w:line="580" w:lineRule="atLeast"/>
        <w:ind w:firstLine="636"/>
        <w:rPr>
          <w:rFonts w:ascii="微软雅黑" w:eastAsia="微软雅黑" w:hAnsi="微软雅黑" w:cs="宋体"/>
          <w:color w:val="000000"/>
          <w:kern w:val="0"/>
          <w:sz w:val="24"/>
          <w:szCs w:val="24"/>
        </w:rPr>
      </w:pPr>
      <w:r w:rsidRPr="00F33D40">
        <w:rPr>
          <w:rFonts w:ascii="微软雅黑" w:eastAsia="微软雅黑" w:hAnsi="微软雅黑" w:cs="宋体" w:hint="eastAsia"/>
          <w:b/>
          <w:bCs/>
          <w:color w:val="000000"/>
          <w:kern w:val="0"/>
          <w:sz w:val="24"/>
          <w:szCs w:val="24"/>
        </w:rPr>
        <w:t>第二十五条</w:t>
      </w:r>
      <w:r w:rsidRPr="00F33D40">
        <w:rPr>
          <w:rFonts w:ascii="微软雅黑" w:eastAsia="微软雅黑" w:hAnsi="微软雅黑" w:cs="宋体" w:hint="eastAsia"/>
          <w:color w:val="000000"/>
          <w:kern w:val="0"/>
          <w:sz w:val="24"/>
          <w:szCs w:val="24"/>
        </w:rPr>
        <w:t> 本办法由省经济和信息化委会同省发展改革委、科技厅、财政厅、省地税局、成都海关负责解释。</w:t>
      </w:r>
    </w:p>
    <w:p w14:paraId="4E9E5A8B" w14:textId="4113FEEE" w:rsidR="00B80935" w:rsidRPr="00F33D40" w:rsidRDefault="00B80935" w:rsidP="00F33D40">
      <w:pPr>
        <w:widowControl/>
        <w:spacing w:before="100" w:beforeAutospacing="1" w:after="100" w:afterAutospacing="1" w:line="375" w:lineRule="atLeast"/>
        <w:jc w:val="left"/>
        <w:outlineLvl w:val="2"/>
        <w:rPr>
          <w:rFonts w:ascii="inherit" w:eastAsia="微软雅黑" w:hAnsi="inherit" w:cs="宋体" w:hint="eastAsia"/>
          <w:color w:val="CAC9C8"/>
          <w:kern w:val="0"/>
          <w:sz w:val="18"/>
          <w:szCs w:val="18"/>
        </w:rPr>
      </w:pPr>
    </w:p>
    <w:sectPr w:rsidR="00B80935" w:rsidRPr="00F33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EFE42" w14:textId="77777777" w:rsidR="00C03867" w:rsidRDefault="00C03867" w:rsidP="00F33D40">
      <w:r>
        <w:separator/>
      </w:r>
    </w:p>
  </w:endnote>
  <w:endnote w:type="continuationSeparator" w:id="0">
    <w:p w14:paraId="07C13FF6" w14:textId="77777777" w:rsidR="00C03867" w:rsidRDefault="00C03867" w:rsidP="00F3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87D34" w14:textId="77777777" w:rsidR="00C03867" w:rsidRDefault="00C03867" w:rsidP="00F33D40">
      <w:r>
        <w:separator/>
      </w:r>
    </w:p>
  </w:footnote>
  <w:footnote w:type="continuationSeparator" w:id="0">
    <w:p w14:paraId="27CD7598" w14:textId="77777777" w:rsidR="00C03867" w:rsidRDefault="00C03867" w:rsidP="00F33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AB"/>
    <w:rsid w:val="000068F8"/>
    <w:rsid w:val="00043EAB"/>
    <w:rsid w:val="00B80935"/>
    <w:rsid w:val="00C03867"/>
    <w:rsid w:val="00E2010B"/>
    <w:rsid w:val="00E561A5"/>
    <w:rsid w:val="00F33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FFA93"/>
  <w15:chartTrackingRefBased/>
  <w15:docId w15:val="{55461019-2EFC-45A7-9F5F-0C54278B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D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3D40"/>
    <w:rPr>
      <w:sz w:val="18"/>
      <w:szCs w:val="18"/>
    </w:rPr>
  </w:style>
  <w:style w:type="paragraph" w:styleId="a5">
    <w:name w:val="footer"/>
    <w:basedOn w:val="a"/>
    <w:link w:val="a6"/>
    <w:uiPriority w:val="99"/>
    <w:unhideWhenUsed/>
    <w:rsid w:val="00F33D40"/>
    <w:pPr>
      <w:tabs>
        <w:tab w:val="center" w:pos="4153"/>
        <w:tab w:val="right" w:pos="8306"/>
      </w:tabs>
      <w:snapToGrid w:val="0"/>
      <w:jc w:val="left"/>
    </w:pPr>
    <w:rPr>
      <w:sz w:val="18"/>
      <w:szCs w:val="18"/>
    </w:rPr>
  </w:style>
  <w:style w:type="character" w:customStyle="1" w:styleId="a6">
    <w:name w:val="页脚 字符"/>
    <w:basedOn w:val="a0"/>
    <w:link w:val="a5"/>
    <w:uiPriority w:val="99"/>
    <w:rsid w:val="00F33D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68007">
      <w:bodyDiv w:val="1"/>
      <w:marLeft w:val="0"/>
      <w:marRight w:val="0"/>
      <w:marTop w:val="0"/>
      <w:marBottom w:val="0"/>
      <w:divBdr>
        <w:top w:val="none" w:sz="0" w:space="0" w:color="auto"/>
        <w:left w:val="none" w:sz="0" w:space="0" w:color="auto"/>
        <w:bottom w:val="none" w:sz="0" w:space="0" w:color="auto"/>
        <w:right w:val="none" w:sz="0" w:space="0" w:color="auto"/>
      </w:divBdr>
      <w:divsChild>
        <w:div w:id="2038503740">
          <w:marLeft w:val="0"/>
          <w:marRight w:val="0"/>
          <w:marTop w:val="0"/>
          <w:marBottom w:val="0"/>
          <w:divBdr>
            <w:top w:val="none" w:sz="0" w:space="0" w:color="auto"/>
            <w:left w:val="none" w:sz="0" w:space="0" w:color="auto"/>
            <w:bottom w:val="single" w:sz="6" w:space="0" w:color="E5ECF1"/>
            <w:right w:val="none" w:sz="0" w:space="0" w:color="auto"/>
          </w:divBdr>
          <w:divsChild>
            <w:div w:id="874002204">
              <w:marLeft w:val="0"/>
              <w:marRight w:val="0"/>
              <w:marTop w:val="0"/>
              <w:marBottom w:val="0"/>
              <w:divBdr>
                <w:top w:val="none" w:sz="0" w:space="0" w:color="auto"/>
                <w:left w:val="none" w:sz="0" w:space="0" w:color="auto"/>
                <w:bottom w:val="single" w:sz="6" w:space="15" w:color="D6D5D5"/>
                <w:right w:val="none" w:sz="0" w:space="0" w:color="auto"/>
              </w:divBdr>
            </w:div>
            <w:div w:id="595021616">
              <w:marLeft w:val="0"/>
              <w:marRight w:val="0"/>
              <w:marTop w:val="0"/>
              <w:marBottom w:val="0"/>
              <w:divBdr>
                <w:top w:val="none" w:sz="0" w:space="0" w:color="auto"/>
                <w:left w:val="none" w:sz="0" w:space="0" w:color="auto"/>
                <w:bottom w:val="none" w:sz="0" w:space="0" w:color="auto"/>
                <w:right w:val="none" w:sz="0" w:space="0" w:color="auto"/>
              </w:divBdr>
              <w:divsChild>
                <w:div w:id="1138569934">
                  <w:marLeft w:val="0"/>
                  <w:marRight w:val="0"/>
                  <w:marTop w:val="0"/>
                  <w:marBottom w:val="0"/>
                  <w:divBdr>
                    <w:top w:val="none" w:sz="0" w:space="0" w:color="auto"/>
                    <w:left w:val="none" w:sz="0" w:space="0" w:color="auto"/>
                    <w:bottom w:val="none" w:sz="0" w:space="0" w:color="auto"/>
                    <w:right w:val="none" w:sz="0" w:space="0" w:color="auto"/>
                  </w:divBdr>
                </w:div>
                <w:div w:id="375469804">
                  <w:marLeft w:val="0"/>
                  <w:marRight w:val="0"/>
                  <w:marTop w:val="0"/>
                  <w:marBottom w:val="0"/>
                  <w:divBdr>
                    <w:top w:val="none" w:sz="0" w:space="0" w:color="auto"/>
                    <w:left w:val="none" w:sz="0" w:space="0" w:color="auto"/>
                    <w:bottom w:val="none" w:sz="0" w:space="0" w:color="auto"/>
                    <w:right w:val="none" w:sz="0" w:space="0" w:color="auto"/>
                  </w:divBdr>
                </w:div>
                <w:div w:id="576208230">
                  <w:marLeft w:val="0"/>
                  <w:marRight w:val="0"/>
                  <w:marTop w:val="0"/>
                  <w:marBottom w:val="0"/>
                  <w:divBdr>
                    <w:top w:val="none" w:sz="0" w:space="0" w:color="auto"/>
                    <w:left w:val="none" w:sz="0" w:space="0" w:color="auto"/>
                    <w:bottom w:val="none" w:sz="0" w:space="0" w:color="auto"/>
                    <w:right w:val="none" w:sz="0" w:space="0" w:color="auto"/>
                  </w:divBdr>
                </w:div>
                <w:div w:id="329868305">
                  <w:marLeft w:val="0"/>
                  <w:marRight w:val="0"/>
                  <w:marTop w:val="0"/>
                  <w:marBottom w:val="0"/>
                  <w:divBdr>
                    <w:top w:val="none" w:sz="0" w:space="0" w:color="auto"/>
                    <w:left w:val="none" w:sz="0" w:space="0" w:color="auto"/>
                    <w:bottom w:val="none" w:sz="0" w:space="0" w:color="auto"/>
                    <w:right w:val="none" w:sz="0" w:space="0" w:color="auto"/>
                  </w:divBdr>
                </w:div>
                <w:div w:id="1515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4417">
          <w:marLeft w:val="0"/>
          <w:marRight w:val="0"/>
          <w:marTop w:val="0"/>
          <w:marBottom w:val="0"/>
          <w:divBdr>
            <w:top w:val="none" w:sz="0" w:space="0" w:color="auto"/>
            <w:left w:val="none" w:sz="0" w:space="0" w:color="auto"/>
            <w:bottom w:val="none" w:sz="0" w:space="0" w:color="auto"/>
            <w:right w:val="none" w:sz="0" w:space="0" w:color="auto"/>
          </w:divBdr>
        </w:div>
        <w:div w:id="521170215">
          <w:marLeft w:val="0"/>
          <w:marRight w:val="0"/>
          <w:marTop w:val="30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2018-12-26T07:24:00Z</dcterms:created>
  <dcterms:modified xsi:type="dcterms:W3CDTF">2018-12-29T04:18:00Z</dcterms:modified>
</cp:coreProperties>
</file>