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06" w:type="dxa"/>
        <w:tblCellSpacing w:w="0" w:type="dxa"/>
        <w:tblLayout w:type="fixed"/>
        <w:tblCellMar>
          <w:left w:w="0" w:type="dxa"/>
          <w:right w:w="0" w:type="dxa"/>
        </w:tblCellMar>
        <w:tblLook w:val="04A0" w:firstRow="1" w:lastRow="0" w:firstColumn="1" w:lastColumn="0" w:noHBand="0" w:noVBand="1"/>
      </w:tblPr>
      <w:tblGrid>
        <w:gridCol w:w="8306"/>
      </w:tblGrid>
      <w:tr w:rsidR="00BC3EED" w:rsidRPr="003C2BA0">
        <w:trPr>
          <w:tblCellSpacing w:w="0" w:type="dxa"/>
        </w:trPr>
        <w:tc>
          <w:tcPr>
            <w:tcW w:w="8306" w:type="dxa"/>
            <w:shd w:val="clear" w:color="auto" w:fill="auto"/>
            <w:vAlign w:val="center"/>
          </w:tcPr>
          <w:p w:rsidR="00BC3EED" w:rsidRPr="003C2BA0" w:rsidRDefault="003C2BA0">
            <w:pPr>
              <w:widowControl/>
              <w:spacing w:line="15" w:lineRule="atLeast"/>
              <w:jc w:val="center"/>
              <w:rPr>
                <w:rFonts w:ascii="宋体" w:eastAsia="宋体" w:hAnsi="宋体" w:cs="宋体"/>
                <w:b/>
                <w:sz w:val="32"/>
                <w:szCs w:val="32"/>
              </w:rPr>
            </w:pPr>
            <w:r w:rsidRPr="003C2BA0">
              <w:rPr>
                <w:rFonts w:ascii="宋体" w:eastAsia="宋体" w:hAnsi="宋体" w:cs="宋体" w:hint="eastAsia"/>
                <w:b/>
                <w:kern w:val="0"/>
                <w:sz w:val="32"/>
                <w:szCs w:val="32"/>
                <w:lang w:bidi="ar"/>
              </w:rPr>
              <w:t xml:space="preserve">关于印发《眉山市企业资本市场融资鼓励办法》的通知 </w:t>
            </w:r>
          </w:p>
        </w:tc>
      </w:tr>
      <w:tr w:rsidR="00BC3EED" w:rsidRPr="003C2BA0">
        <w:trPr>
          <w:trHeight w:val="450"/>
          <w:tblCellSpacing w:w="0" w:type="dxa"/>
        </w:trPr>
        <w:tc>
          <w:tcPr>
            <w:tcW w:w="8306" w:type="dxa"/>
            <w:shd w:val="clear" w:color="auto" w:fill="auto"/>
            <w:vAlign w:val="center"/>
          </w:tcPr>
          <w:p w:rsidR="00BC3EED" w:rsidRPr="003C2BA0" w:rsidRDefault="003C2BA0">
            <w:pPr>
              <w:widowControl/>
              <w:spacing w:line="30" w:lineRule="atLeast"/>
              <w:jc w:val="center"/>
              <w:rPr>
                <w:rFonts w:ascii="宋体" w:eastAsia="宋体" w:hAnsi="宋体" w:cs="宋体"/>
                <w:sz w:val="32"/>
                <w:szCs w:val="32"/>
              </w:rPr>
            </w:pPr>
            <w:r w:rsidRPr="003C2BA0">
              <w:rPr>
                <w:rStyle w:val="timestyle700441"/>
                <w:rFonts w:ascii="宋体" w:eastAsia="宋体" w:hAnsi="宋体" w:cs="宋体" w:hint="eastAsia"/>
                <w:sz w:val="32"/>
                <w:szCs w:val="32"/>
                <w:lang w:bidi="ar"/>
              </w:rPr>
              <w:t>2017-10-10 00:00</w:t>
            </w:r>
            <w:r w:rsidRPr="003C2BA0">
              <w:rPr>
                <w:rFonts w:ascii="宋体" w:eastAsia="宋体" w:hAnsi="宋体" w:cs="宋体" w:hint="eastAsia"/>
                <w:kern w:val="0"/>
                <w:sz w:val="32"/>
                <w:szCs w:val="32"/>
                <w:lang w:bidi="ar"/>
              </w:rPr>
              <w:t xml:space="preserve"> </w:t>
            </w:r>
            <w:r w:rsidRPr="003C2BA0">
              <w:rPr>
                <w:rStyle w:val="authorstyle700441"/>
                <w:rFonts w:ascii="宋体" w:eastAsia="宋体" w:hAnsi="宋体" w:cs="宋体" w:hint="eastAsia"/>
                <w:sz w:val="32"/>
                <w:szCs w:val="32"/>
                <w:lang w:bidi="ar"/>
              </w:rPr>
              <w:t> </w:t>
            </w:r>
            <w:r w:rsidRPr="003C2BA0">
              <w:rPr>
                <w:rFonts w:ascii="宋体" w:eastAsia="宋体" w:hAnsi="宋体" w:cs="宋体" w:hint="eastAsia"/>
                <w:kern w:val="0"/>
                <w:sz w:val="32"/>
                <w:szCs w:val="32"/>
                <w:lang w:bidi="ar"/>
              </w:rPr>
              <w:t xml:space="preserve"> </w:t>
            </w:r>
          </w:p>
        </w:tc>
      </w:tr>
      <w:tr w:rsidR="00BC3EED" w:rsidRPr="003C2BA0">
        <w:trPr>
          <w:trHeight w:val="75"/>
          <w:tblCellSpacing w:w="0" w:type="dxa"/>
        </w:trPr>
        <w:tc>
          <w:tcPr>
            <w:tcW w:w="8306" w:type="dxa"/>
            <w:shd w:val="clear" w:color="auto" w:fill="auto"/>
            <w:vAlign w:val="center"/>
          </w:tcPr>
          <w:p w:rsidR="00BC3EED" w:rsidRPr="003C2BA0" w:rsidRDefault="00BC3EED">
            <w:pPr>
              <w:rPr>
                <w:rFonts w:ascii="宋体" w:eastAsia="宋体" w:hAnsi="宋体" w:cs="宋体"/>
                <w:sz w:val="32"/>
                <w:szCs w:val="32"/>
              </w:rPr>
            </w:pPr>
          </w:p>
        </w:tc>
      </w:tr>
      <w:tr w:rsidR="00BC3EED" w:rsidRPr="003C2BA0">
        <w:trPr>
          <w:tblCellSpacing w:w="0" w:type="dxa"/>
        </w:trPr>
        <w:tc>
          <w:tcPr>
            <w:tcW w:w="8306" w:type="dxa"/>
            <w:shd w:val="clear" w:color="auto" w:fill="auto"/>
            <w:vAlign w:val="center"/>
          </w:tcPr>
          <w:tbl>
            <w:tblPr>
              <w:tblW w:w="8305" w:type="dxa"/>
              <w:tblCellSpacing w:w="7" w:type="dxa"/>
              <w:shd w:val="clear" w:color="auto" w:fill="ECC197"/>
              <w:tblLayout w:type="fixed"/>
              <w:tblCellMar>
                <w:top w:w="30" w:type="dxa"/>
                <w:left w:w="30" w:type="dxa"/>
                <w:bottom w:w="30" w:type="dxa"/>
                <w:right w:w="30" w:type="dxa"/>
              </w:tblCellMar>
              <w:tblLook w:val="04A0" w:firstRow="1" w:lastRow="0" w:firstColumn="1" w:lastColumn="0" w:noHBand="0" w:noVBand="1"/>
            </w:tblPr>
            <w:tblGrid>
              <w:gridCol w:w="1473"/>
              <w:gridCol w:w="2227"/>
              <w:gridCol w:w="1271"/>
              <w:gridCol w:w="875"/>
              <w:gridCol w:w="1271"/>
              <w:gridCol w:w="1188"/>
            </w:tblGrid>
            <w:tr w:rsidR="00BC3EED" w:rsidRPr="003C2BA0">
              <w:trPr>
                <w:tblCellSpacing w:w="7" w:type="dxa"/>
              </w:trPr>
              <w:tc>
                <w:tcPr>
                  <w:tcW w:w="1454" w:type="dxa"/>
                  <w:shd w:val="clear" w:color="auto" w:fill="FFFFEC"/>
                  <w:vAlign w:val="center"/>
                </w:tcPr>
                <w:p w:rsidR="00BC3EED" w:rsidRPr="003C2BA0" w:rsidRDefault="003C2BA0">
                  <w:pPr>
                    <w:widowControl/>
                    <w:spacing w:line="345" w:lineRule="atLeast"/>
                    <w:jc w:val="left"/>
                    <w:rPr>
                      <w:rFonts w:ascii="宋体" w:eastAsia="宋体" w:hAnsi="宋体" w:cs="宋体"/>
                      <w:color w:val="3E3E3E"/>
                      <w:sz w:val="32"/>
                      <w:szCs w:val="32"/>
                    </w:rPr>
                  </w:pPr>
                  <w:r w:rsidRPr="003C2BA0">
                    <w:rPr>
                      <w:rFonts w:ascii="宋体" w:eastAsia="宋体" w:hAnsi="宋体" w:cs="宋体" w:hint="eastAsia"/>
                      <w:color w:val="3E3E3E"/>
                      <w:kern w:val="0"/>
                      <w:sz w:val="32"/>
                      <w:szCs w:val="32"/>
                      <w:lang w:bidi="ar"/>
                    </w:rPr>
                    <w:t> 索 引 号 </w:t>
                  </w:r>
                </w:p>
              </w:tc>
              <w:tc>
                <w:tcPr>
                  <w:tcW w:w="2215" w:type="dxa"/>
                  <w:shd w:val="clear" w:color="auto" w:fill="FFFFFF"/>
                  <w:vAlign w:val="center"/>
                </w:tcPr>
                <w:p w:rsidR="00BC3EED" w:rsidRPr="003C2BA0" w:rsidRDefault="003C2BA0">
                  <w:pPr>
                    <w:widowControl/>
                    <w:spacing w:line="345" w:lineRule="atLeast"/>
                    <w:jc w:val="left"/>
                    <w:rPr>
                      <w:rFonts w:ascii="微软雅黑" w:eastAsia="微软雅黑" w:hAnsi="微软雅黑" w:cs="微软雅黑"/>
                      <w:color w:val="3E3E3E"/>
                      <w:sz w:val="32"/>
                      <w:szCs w:val="32"/>
                    </w:rPr>
                  </w:pPr>
                  <w:r w:rsidRPr="003C2BA0">
                    <w:rPr>
                      <w:rFonts w:ascii="微软雅黑" w:eastAsia="微软雅黑" w:hAnsi="微软雅黑" w:cs="微软雅黑" w:hint="eastAsia"/>
                      <w:color w:val="3E3E3E"/>
                      <w:kern w:val="0"/>
                      <w:sz w:val="32"/>
                      <w:szCs w:val="32"/>
                      <w:lang w:bidi="ar"/>
                    </w:rPr>
                    <w:t>20171128-165731-222</w:t>
                  </w:r>
                </w:p>
              </w:tc>
              <w:tc>
                <w:tcPr>
                  <w:tcW w:w="1258" w:type="dxa"/>
                  <w:shd w:val="clear" w:color="auto" w:fill="FFFFEC"/>
                  <w:vAlign w:val="center"/>
                </w:tcPr>
                <w:p w:rsidR="00BC3EED" w:rsidRPr="003C2BA0" w:rsidRDefault="003C2BA0">
                  <w:pPr>
                    <w:widowControl/>
                    <w:spacing w:line="345" w:lineRule="atLeast"/>
                    <w:jc w:val="left"/>
                    <w:rPr>
                      <w:rFonts w:ascii="宋体" w:eastAsia="宋体" w:hAnsi="宋体" w:cs="宋体"/>
                      <w:color w:val="3E3E3E"/>
                      <w:sz w:val="32"/>
                      <w:szCs w:val="32"/>
                    </w:rPr>
                  </w:pPr>
                  <w:r w:rsidRPr="003C2BA0">
                    <w:rPr>
                      <w:rFonts w:ascii="宋体" w:eastAsia="宋体" w:hAnsi="宋体" w:cs="宋体" w:hint="eastAsia"/>
                      <w:color w:val="3E3E3E"/>
                      <w:kern w:val="0"/>
                      <w:sz w:val="32"/>
                      <w:szCs w:val="32"/>
                      <w:lang w:bidi="ar"/>
                    </w:rPr>
                    <w:t> 公开方式 </w:t>
                  </w:r>
                </w:p>
              </w:tc>
              <w:tc>
                <w:tcPr>
                  <w:tcW w:w="862" w:type="dxa"/>
                  <w:shd w:val="clear" w:color="auto" w:fill="FFFFFF"/>
                  <w:vAlign w:val="center"/>
                </w:tcPr>
                <w:p w:rsidR="00BC3EED" w:rsidRPr="003C2BA0" w:rsidRDefault="003C2BA0">
                  <w:pPr>
                    <w:widowControl/>
                    <w:spacing w:line="345" w:lineRule="atLeast"/>
                    <w:jc w:val="left"/>
                    <w:rPr>
                      <w:rFonts w:ascii="微软雅黑" w:eastAsia="微软雅黑" w:hAnsi="微软雅黑" w:cs="微软雅黑"/>
                      <w:color w:val="3E3E3E"/>
                      <w:sz w:val="32"/>
                      <w:szCs w:val="32"/>
                    </w:rPr>
                  </w:pPr>
                  <w:r w:rsidRPr="003C2BA0">
                    <w:rPr>
                      <w:rFonts w:ascii="微软雅黑" w:eastAsia="微软雅黑" w:hAnsi="微软雅黑" w:cs="微软雅黑" w:hint="eastAsia"/>
                      <w:color w:val="3E3E3E"/>
                      <w:kern w:val="0"/>
                      <w:sz w:val="32"/>
                      <w:szCs w:val="32"/>
                      <w:lang w:bidi="ar"/>
                    </w:rPr>
                    <w:t>主动公开</w:t>
                  </w:r>
                </w:p>
              </w:tc>
              <w:tc>
                <w:tcPr>
                  <w:tcW w:w="1258" w:type="dxa"/>
                  <w:shd w:val="clear" w:color="auto" w:fill="FFFFEC"/>
                  <w:vAlign w:val="center"/>
                </w:tcPr>
                <w:p w:rsidR="00BC3EED" w:rsidRPr="003C2BA0" w:rsidRDefault="003C2BA0">
                  <w:pPr>
                    <w:widowControl/>
                    <w:spacing w:line="345" w:lineRule="atLeast"/>
                    <w:jc w:val="left"/>
                    <w:rPr>
                      <w:rFonts w:ascii="宋体" w:eastAsia="宋体" w:hAnsi="宋体" w:cs="宋体"/>
                      <w:color w:val="3E3E3E"/>
                      <w:sz w:val="32"/>
                      <w:szCs w:val="32"/>
                    </w:rPr>
                  </w:pPr>
                  <w:r w:rsidRPr="003C2BA0">
                    <w:rPr>
                      <w:rFonts w:ascii="宋体" w:eastAsia="宋体" w:hAnsi="宋体" w:cs="宋体" w:hint="eastAsia"/>
                      <w:color w:val="3E3E3E"/>
                      <w:kern w:val="0"/>
                      <w:sz w:val="32"/>
                      <w:szCs w:val="32"/>
                      <w:lang w:bidi="ar"/>
                    </w:rPr>
                    <w:t> 公开日期 </w:t>
                  </w:r>
                </w:p>
              </w:tc>
              <w:tc>
                <w:tcPr>
                  <w:tcW w:w="1168" w:type="dxa"/>
                  <w:shd w:val="clear" w:color="auto" w:fill="FFFFFF"/>
                  <w:vAlign w:val="center"/>
                </w:tcPr>
                <w:p w:rsidR="00BC3EED" w:rsidRPr="003C2BA0" w:rsidRDefault="003C2BA0">
                  <w:pPr>
                    <w:widowControl/>
                    <w:spacing w:line="345" w:lineRule="atLeast"/>
                    <w:jc w:val="left"/>
                    <w:rPr>
                      <w:rFonts w:ascii="微软雅黑" w:eastAsia="微软雅黑" w:hAnsi="微软雅黑" w:cs="微软雅黑"/>
                      <w:color w:val="3E3E3E"/>
                      <w:sz w:val="32"/>
                      <w:szCs w:val="32"/>
                    </w:rPr>
                  </w:pPr>
                  <w:r w:rsidRPr="003C2BA0">
                    <w:rPr>
                      <w:rFonts w:ascii="微软雅黑" w:eastAsia="微软雅黑" w:hAnsi="微软雅黑" w:cs="微软雅黑" w:hint="eastAsia"/>
                      <w:color w:val="3E3E3E"/>
                      <w:kern w:val="0"/>
                      <w:sz w:val="32"/>
                      <w:szCs w:val="32"/>
                      <w:lang w:bidi="ar"/>
                    </w:rPr>
                    <w:t>2017-10-10</w:t>
                  </w:r>
                </w:p>
              </w:tc>
            </w:tr>
            <w:tr w:rsidR="00BC3EED" w:rsidRPr="003C2BA0">
              <w:trPr>
                <w:tblCellSpacing w:w="7" w:type="dxa"/>
              </w:trPr>
              <w:tc>
                <w:tcPr>
                  <w:tcW w:w="1454" w:type="dxa"/>
                  <w:shd w:val="clear" w:color="auto" w:fill="FFFFEC"/>
                  <w:vAlign w:val="center"/>
                </w:tcPr>
                <w:p w:rsidR="00BC3EED" w:rsidRPr="003C2BA0" w:rsidRDefault="003C2BA0">
                  <w:pPr>
                    <w:widowControl/>
                    <w:spacing w:line="345" w:lineRule="atLeast"/>
                    <w:jc w:val="left"/>
                    <w:rPr>
                      <w:rFonts w:ascii="宋体" w:eastAsia="宋体" w:hAnsi="宋体" w:cs="宋体"/>
                      <w:color w:val="3E3E3E"/>
                      <w:sz w:val="32"/>
                      <w:szCs w:val="32"/>
                    </w:rPr>
                  </w:pPr>
                  <w:r w:rsidRPr="003C2BA0">
                    <w:rPr>
                      <w:rFonts w:ascii="宋体" w:eastAsia="宋体" w:hAnsi="宋体" w:cs="宋体" w:hint="eastAsia"/>
                      <w:color w:val="3E3E3E"/>
                      <w:kern w:val="0"/>
                      <w:sz w:val="32"/>
                      <w:szCs w:val="32"/>
                      <w:lang w:bidi="ar"/>
                    </w:rPr>
                    <w:t> 文　　号 </w:t>
                  </w:r>
                </w:p>
              </w:tc>
              <w:tc>
                <w:tcPr>
                  <w:tcW w:w="2215" w:type="dxa"/>
                  <w:shd w:val="clear" w:color="auto" w:fill="FFFFFF"/>
                  <w:vAlign w:val="center"/>
                </w:tcPr>
                <w:p w:rsidR="00BC3EED" w:rsidRPr="003C2BA0" w:rsidRDefault="003C2BA0">
                  <w:pPr>
                    <w:widowControl/>
                    <w:spacing w:line="345" w:lineRule="atLeast"/>
                    <w:jc w:val="left"/>
                    <w:rPr>
                      <w:rFonts w:ascii="微软雅黑" w:eastAsia="微软雅黑" w:hAnsi="微软雅黑" w:cs="微软雅黑"/>
                      <w:color w:val="3E3E3E"/>
                      <w:sz w:val="32"/>
                      <w:szCs w:val="32"/>
                    </w:rPr>
                  </w:pPr>
                  <w:proofErr w:type="gramStart"/>
                  <w:r w:rsidRPr="003C2BA0">
                    <w:rPr>
                      <w:rFonts w:ascii="微软雅黑" w:eastAsia="微软雅黑" w:hAnsi="微软雅黑" w:cs="微软雅黑" w:hint="eastAsia"/>
                      <w:color w:val="3E3E3E"/>
                      <w:kern w:val="0"/>
                      <w:sz w:val="32"/>
                      <w:szCs w:val="32"/>
                      <w:lang w:bidi="ar"/>
                    </w:rPr>
                    <w:t>眉府办</w:t>
                  </w:r>
                  <w:proofErr w:type="gramEnd"/>
                  <w:r w:rsidRPr="003C2BA0">
                    <w:rPr>
                      <w:rFonts w:ascii="微软雅黑" w:eastAsia="微软雅黑" w:hAnsi="微软雅黑" w:cs="微软雅黑" w:hint="eastAsia"/>
                      <w:color w:val="3E3E3E"/>
                      <w:kern w:val="0"/>
                      <w:sz w:val="32"/>
                      <w:szCs w:val="32"/>
                      <w:lang w:bidi="ar"/>
                    </w:rPr>
                    <w:t>发[2017]76号</w:t>
                  </w:r>
                </w:p>
              </w:tc>
              <w:tc>
                <w:tcPr>
                  <w:tcW w:w="1258" w:type="dxa"/>
                  <w:shd w:val="clear" w:color="auto" w:fill="FFFFEC"/>
                  <w:vAlign w:val="center"/>
                </w:tcPr>
                <w:p w:rsidR="00BC3EED" w:rsidRPr="003C2BA0" w:rsidRDefault="003C2BA0">
                  <w:pPr>
                    <w:widowControl/>
                    <w:spacing w:line="345" w:lineRule="atLeast"/>
                    <w:jc w:val="left"/>
                    <w:rPr>
                      <w:rFonts w:ascii="宋体" w:eastAsia="宋体" w:hAnsi="宋体" w:cs="宋体"/>
                      <w:color w:val="3E3E3E"/>
                      <w:sz w:val="32"/>
                      <w:szCs w:val="32"/>
                    </w:rPr>
                  </w:pPr>
                  <w:r w:rsidRPr="003C2BA0">
                    <w:rPr>
                      <w:rFonts w:ascii="宋体" w:eastAsia="宋体" w:hAnsi="宋体" w:cs="宋体" w:hint="eastAsia"/>
                      <w:color w:val="3E3E3E"/>
                      <w:kern w:val="0"/>
                      <w:sz w:val="32"/>
                      <w:szCs w:val="32"/>
                      <w:lang w:bidi="ar"/>
                    </w:rPr>
                    <w:t> 发布机构 </w:t>
                  </w:r>
                </w:p>
              </w:tc>
              <w:tc>
                <w:tcPr>
                  <w:tcW w:w="3312" w:type="dxa"/>
                  <w:gridSpan w:val="3"/>
                  <w:shd w:val="clear" w:color="auto" w:fill="FFFFFF"/>
                  <w:vAlign w:val="center"/>
                </w:tcPr>
                <w:p w:rsidR="00BC3EED" w:rsidRPr="003C2BA0" w:rsidRDefault="003C2BA0">
                  <w:pPr>
                    <w:widowControl/>
                    <w:spacing w:line="345" w:lineRule="atLeast"/>
                    <w:jc w:val="left"/>
                    <w:rPr>
                      <w:rFonts w:ascii="微软雅黑" w:eastAsia="微软雅黑" w:hAnsi="微软雅黑" w:cs="微软雅黑"/>
                      <w:color w:val="3E3E3E"/>
                      <w:sz w:val="32"/>
                      <w:szCs w:val="32"/>
                    </w:rPr>
                  </w:pPr>
                  <w:r w:rsidRPr="003C2BA0">
                    <w:rPr>
                      <w:rFonts w:ascii="微软雅黑" w:eastAsia="微软雅黑" w:hAnsi="微软雅黑" w:cs="微软雅黑" w:hint="eastAsia"/>
                      <w:color w:val="3E3E3E"/>
                      <w:kern w:val="0"/>
                      <w:sz w:val="32"/>
                      <w:szCs w:val="32"/>
                      <w:lang w:bidi="ar"/>
                    </w:rPr>
                    <w:t>市政府办</w:t>
                  </w:r>
                </w:p>
              </w:tc>
            </w:tr>
          </w:tbl>
          <w:p w:rsidR="00BC3EED" w:rsidRPr="003C2BA0" w:rsidRDefault="00BC3EED">
            <w:pPr>
              <w:spacing w:line="345" w:lineRule="atLeast"/>
              <w:rPr>
                <w:rFonts w:ascii="宋体" w:eastAsia="宋体" w:hAnsi="宋体" w:cs="宋体"/>
                <w:sz w:val="32"/>
                <w:szCs w:val="32"/>
              </w:rPr>
            </w:pPr>
          </w:p>
        </w:tc>
      </w:tr>
      <w:tr w:rsidR="00BC3EED" w:rsidRPr="003C2BA0">
        <w:trPr>
          <w:trHeight w:val="151"/>
          <w:tblCellSpacing w:w="0" w:type="dxa"/>
        </w:trPr>
        <w:tc>
          <w:tcPr>
            <w:tcW w:w="8306" w:type="dxa"/>
            <w:shd w:val="clear" w:color="auto" w:fill="auto"/>
            <w:vAlign w:val="center"/>
          </w:tcPr>
          <w:p w:rsidR="00BC3EED" w:rsidRPr="003C2BA0" w:rsidRDefault="00BC3EED">
            <w:pPr>
              <w:rPr>
                <w:rFonts w:ascii="宋体" w:eastAsia="宋体" w:hAnsi="宋体" w:cs="宋体"/>
                <w:sz w:val="32"/>
                <w:szCs w:val="32"/>
              </w:rPr>
            </w:pPr>
          </w:p>
        </w:tc>
      </w:tr>
      <w:tr w:rsidR="00BC3EED" w:rsidRPr="003C2BA0">
        <w:trPr>
          <w:tblCellSpacing w:w="0" w:type="dxa"/>
        </w:trPr>
        <w:tc>
          <w:tcPr>
            <w:tcW w:w="8306" w:type="dxa"/>
            <w:shd w:val="clear" w:color="auto" w:fill="auto"/>
            <w:tcMar>
              <w:bottom w:w="300" w:type="dxa"/>
            </w:tcMar>
            <w:vAlign w:val="center"/>
          </w:tcPr>
          <w:p w:rsidR="00E767AF" w:rsidRDefault="003C2BA0">
            <w:pPr>
              <w:widowControl/>
              <w:spacing w:line="450" w:lineRule="atLeast"/>
              <w:ind w:firstLine="420"/>
              <w:jc w:val="left"/>
              <w:rPr>
                <w:rFonts w:ascii="宋体" w:eastAsia="宋体" w:hAnsi="宋体" w:cs="宋体"/>
                <w:kern w:val="0"/>
                <w:sz w:val="32"/>
                <w:szCs w:val="32"/>
                <w:lang w:bidi="ar"/>
              </w:rPr>
            </w:pPr>
            <w:r w:rsidRPr="003C2BA0">
              <w:rPr>
                <w:rFonts w:ascii="宋体" w:eastAsia="宋体" w:hAnsi="宋体" w:cs="宋体" w:hint="eastAsia"/>
                <w:kern w:val="0"/>
                <w:sz w:val="32"/>
                <w:szCs w:val="32"/>
                <w:lang w:bidi="ar"/>
              </w:rPr>
              <w:t>各县（区）人民政府、市级各部门（单位）： 《眉山市企业资本市场融资鼓励办法》已经市第四届政府24次常务会议审议通过，现印发你们，请认真组织实施。</w:t>
            </w:r>
          </w:p>
          <w:p w:rsidR="00E767AF" w:rsidRDefault="003C2BA0">
            <w:pPr>
              <w:widowControl/>
              <w:spacing w:line="450" w:lineRule="atLeast"/>
              <w:ind w:firstLine="420"/>
              <w:jc w:val="left"/>
              <w:rPr>
                <w:rFonts w:ascii="宋体" w:eastAsia="宋体" w:hAnsi="宋体" w:cs="宋体"/>
                <w:kern w:val="0"/>
                <w:sz w:val="32"/>
                <w:szCs w:val="32"/>
                <w:lang w:bidi="ar"/>
              </w:rPr>
            </w:pPr>
            <w:r w:rsidRPr="003C2BA0">
              <w:rPr>
                <w:rFonts w:ascii="宋体" w:eastAsia="宋体" w:hAnsi="宋体" w:cs="宋体" w:hint="eastAsia"/>
                <w:kern w:val="0"/>
                <w:sz w:val="32"/>
                <w:szCs w:val="32"/>
                <w:lang w:bidi="ar"/>
              </w:rPr>
              <w:t xml:space="preserve">眉山市人民政府办公室 </w:t>
            </w:r>
          </w:p>
          <w:p w:rsidR="00E767AF" w:rsidRDefault="003C2BA0">
            <w:pPr>
              <w:widowControl/>
              <w:spacing w:line="450" w:lineRule="atLeast"/>
              <w:ind w:firstLine="420"/>
              <w:jc w:val="left"/>
              <w:rPr>
                <w:rFonts w:ascii="宋体" w:eastAsia="宋体" w:hAnsi="宋体" w:cs="宋体"/>
                <w:kern w:val="0"/>
                <w:sz w:val="32"/>
                <w:szCs w:val="32"/>
                <w:lang w:bidi="ar"/>
              </w:rPr>
            </w:pPr>
            <w:r w:rsidRPr="003C2BA0">
              <w:rPr>
                <w:rFonts w:ascii="宋体" w:eastAsia="宋体" w:hAnsi="宋体" w:cs="宋体" w:hint="eastAsia"/>
                <w:kern w:val="0"/>
                <w:sz w:val="32"/>
                <w:szCs w:val="32"/>
                <w:lang w:bidi="ar"/>
              </w:rPr>
              <w:t xml:space="preserve">2017年9月27日 </w:t>
            </w:r>
          </w:p>
          <w:p w:rsidR="00E767AF" w:rsidRDefault="003C2BA0">
            <w:pPr>
              <w:widowControl/>
              <w:spacing w:line="450" w:lineRule="atLeast"/>
              <w:ind w:firstLine="420"/>
              <w:jc w:val="left"/>
              <w:rPr>
                <w:rFonts w:ascii="宋体" w:eastAsia="宋体" w:hAnsi="宋体" w:cs="宋体"/>
                <w:kern w:val="0"/>
                <w:sz w:val="32"/>
                <w:szCs w:val="32"/>
                <w:lang w:bidi="ar"/>
              </w:rPr>
            </w:pPr>
            <w:r w:rsidRPr="003C2BA0">
              <w:rPr>
                <w:rFonts w:ascii="宋体" w:eastAsia="宋体" w:hAnsi="宋体" w:cs="宋体" w:hint="eastAsia"/>
                <w:kern w:val="0"/>
                <w:sz w:val="32"/>
                <w:szCs w:val="32"/>
                <w:lang w:bidi="ar"/>
              </w:rPr>
              <w:t xml:space="preserve">眉山市企业资本市场融资鼓励办法 </w:t>
            </w:r>
          </w:p>
          <w:p w:rsidR="00E767AF" w:rsidRPr="00E767AF" w:rsidRDefault="00E767AF" w:rsidP="00E767AF">
            <w:pPr>
              <w:widowControl/>
              <w:spacing w:line="450" w:lineRule="atLeast"/>
              <w:jc w:val="left"/>
              <w:rPr>
                <w:rFonts w:ascii="宋体" w:eastAsia="宋体" w:hAnsi="宋体" w:cs="宋体"/>
                <w:kern w:val="0"/>
                <w:sz w:val="32"/>
                <w:szCs w:val="32"/>
                <w:lang w:bidi="ar"/>
              </w:rPr>
            </w:pPr>
            <w:r>
              <w:rPr>
                <w:rFonts w:ascii="宋体" w:eastAsia="宋体" w:hAnsi="宋体" w:cs="宋体"/>
                <w:kern w:val="0"/>
                <w:sz w:val="32"/>
                <w:szCs w:val="32"/>
                <w:lang w:bidi="ar"/>
              </w:rPr>
              <w:t>第一条</w:t>
            </w:r>
            <w:r>
              <w:rPr>
                <w:rFonts w:ascii="宋体" w:eastAsia="宋体" w:hAnsi="宋体" w:cs="宋体" w:hint="eastAsia"/>
                <w:kern w:val="0"/>
                <w:sz w:val="32"/>
                <w:szCs w:val="32"/>
                <w:lang w:bidi="ar"/>
              </w:rPr>
              <w:t xml:space="preserve"> </w:t>
            </w:r>
            <w:r w:rsidR="003C2BA0" w:rsidRPr="00E767AF">
              <w:rPr>
                <w:rFonts w:ascii="宋体" w:eastAsia="宋体" w:hAnsi="宋体" w:cs="宋体" w:hint="eastAsia"/>
                <w:kern w:val="0"/>
                <w:sz w:val="32"/>
                <w:szCs w:val="32"/>
                <w:lang w:bidi="ar"/>
              </w:rPr>
              <w:t xml:space="preserve">为抢抓国家发展多层次资本市场服务实体经济重大机遇，更好地发挥优化资源配置作用，引导企业加快建立现代企业制度，推动企业通过上市和挂牌进行融资，提升企业质量效益，促进全市经济转型升级，特制定本办法。 </w:t>
            </w:r>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 xml:space="preserve">第二条 本办法所指多层次资本市场包括：主板、中小板、创业板、全国中小企业股份转让系统、天府（四川）联合股权交易中心以及境外资本市场等。 </w:t>
            </w:r>
            <w:bookmarkStart w:id="0" w:name="_GoBack"/>
            <w:bookmarkEnd w:id="0"/>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lastRenderedPageBreak/>
              <w:t xml:space="preserve">第三条 本办法适用于在眉山市行政区域内进行工商注册和税务登记的企业。 </w:t>
            </w:r>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 xml:space="preserve">第四条 本办法所需鼓励资金由市、县（区）财政在年度预算中安排。 </w:t>
            </w:r>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 xml:space="preserve">第五条 对在资本市场上市和挂牌的企业，分板块、分阶段进行鼓励。 </w:t>
            </w:r>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（一）通过中国证券监督管理委员会核准发行股票上市（包括主板、中小板、创业板）的企业或在境外资本市场上市的企业： 企业经券商指导规范完成股份制改造的，给予企业鼓励资金20万元； 企业向中国证券监督管理委员会或境外证券监管机关上报上市申请材料，在其取得中国证券监督管理委员会或境外证券监管机关受理函的，给予企业鼓励资金150万元； 企业首发上市后，其募集资金投入本市</w:t>
            </w:r>
            <w:proofErr w:type="gramStart"/>
            <w:r w:rsidRPr="00E767AF">
              <w:rPr>
                <w:rFonts w:ascii="宋体" w:eastAsia="宋体" w:hAnsi="宋体" w:cs="宋体" w:hint="eastAsia"/>
                <w:kern w:val="0"/>
                <w:sz w:val="32"/>
                <w:szCs w:val="32"/>
                <w:lang w:bidi="ar"/>
              </w:rPr>
              <w:t>且税收</w:t>
            </w:r>
            <w:proofErr w:type="gramEnd"/>
            <w:r w:rsidRPr="00E767AF">
              <w:rPr>
                <w:rFonts w:ascii="宋体" w:eastAsia="宋体" w:hAnsi="宋体" w:cs="宋体" w:hint="eastAsia"/>
                <w:kern w:val="0"/>
                <w:sz w:val="32"/>
                <w:szCs w:val="32"/>
                <w:lang w:bidi="ar"/>
              </w:rPr>
              <w:t xml:space="preserve">结算留在本市的，按实际投入金额的2‰给予鼓励（境外融资额折算成人民币），最高不超过200万元。 </w:t>
            </w:r>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（二）在全国中小企业股份转让系统(新三板）成功挂牌的企业： 企业成功挂牌的，给予企业鼓励资金80万元； 企业挂牌后，其募集资金投入本市</w:t>
            </w:r>
            <w:proofErr w:type="gramStart"/>
            <w:r w:rsidRPr="00E767AF">
              <w:rPr>
                <w:rFonts w:ascii="宋体" w:eastAsia="宋体" w:hAnsi="宋体" w:cs="宋体" w:hint="eastAsia"/>
                <w:kern w:val="0"/>
                <w:sz w:val="32"/>
                <w:szCs w:val="32"/>
                <w:lang w:bidi="ar"/>
              </w:rPr>
              <w:t>且税收</w:t>
            </w:r>
            <w:proofErr w:type="gramEnd"/>
            <w:r w:rsidRPr="00E767AF">
              <w:rPr>
                <w:rFonts w:ascii="宋体" w:eastAsia="宋体" w:hAnsi="宋体" w:cs="宋体" w:hint="eastAsia"/>
                <w:kern w:val="0"/>
                <w:sz w:val="32"/>
                <w:szCs w:val="32"/>
                <w:lang w:bidi="ar"/>
              </w:rPr>
              <w:t xml:space="preserve">结算留在本市的，按实际投入金额的2‰给予鼓励，最高不超过200万元。 </w:t>
            </w:r>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（三）在天府（四川）联合股权交易中心成功挂牌的企业： 企业在天府（四川）联合股权交易中心军民融合板、“一带</w:t>
            </w:r>
            <w:r w:rsidRPr="00E767AF">
              <w:rPr>
                <w:rFonts w:ascii="宋体" w:eastAsia="宋体" w:hAnsi="宋体" w:cs="宋体" w:hint="eastAsia"/>
                <w:kern w:val="0"/>
                <w:sz w:val="32"/>
                <w:szCs w:val="32"/>
                <w:lang w:bidi="ar"/>
              </w:rPr>
              <w:lastRenderedPageBreak/>
              <w:t>一路”板、科技金融板和双创企业</w:t>
            </w:r>
            <w:proofErr w:type="gramStart"/>
            <w:r w:rsidRPr="00E767AF">
              <w:rPr>
                <w:rFonts w:ascii="宋体" w:eastAsia="宋体" w:hAnsi="宋体" w:cs="宋体" w:hint="eastAsia"/>
                <w:kern w:val="0"/>
                <w:sz w:val="32"/>
                <w:szCs w:val="32"/>
                <w:lang w:bidi="ar"/>
              </w:rPr>
              <w:t>板成功</w:t>
            </w:r>
            <w:proofErr w:type="gramEnd"/>
            <w:r w:rsidRPr="00E767AF">
              <w:rPr>
                <w:rFonts w:ascii="宋体" w:eastAsia="宋体" w:hAnsi="宋体" w:cs="宋体" w:hint="eastAsia"/>
                <w:kern w:val="0"/>
                <w:sz w:val="32"/>
                <w:szCs w:val="32"/>
                <w:lang w:bidi="ar"/>
              </w:rPr>
              <w:t>挂牌的，给予企业鼓励资金10万元； 企业在天府（四川）联合股权交易中心展示</w:t>
            </w:r>
            <w:proofErr w:type="gramStart"/>
            <w:r w:rsidRPr="00E767AF">
              <w:rPr>
                <w:rFonts w:ascii="宋体" w:eastAsia="宋体" w:hAnsi="宋体" w:cs="宋体" w:hint="eastAsia"/>
                <w:kern w:val="0"/>
                <w:sz w:val="32"/>
                <w:szCs w:val="32"/>
                <w:lang w:bidi="ar"/>
              </w:rPr>
              <w:t>板成功</w:t>
            </w:r>
            <w:proofErr w:type="gramEnd"/>
            <w:r w:rsidRPr="00E767AF">
              <w:rPr>
                <w:rFonts w:ascii="宋体" w:eastAsia="宋体" w:hAnsi="宋体" w:cs="宋体" w:hint="eastAsia"/>
                <w:kern w:val="0"/>
                <w:sz w:val="32"/>
                <w:szCs w:val="32"/>
                <w:lang w:bidi="ar"/>
              </w:rPr>
              <w:t>挂牌的，给予企业鼓励资金2万元； 企业在天府（四川）联合股权交易中心由展示</w:t>
            </w:r>
            <w:proofErr w:type="gramStart"/>
            <w:r w:rsidRPr="00E767AF">
              <w:rPr>
                <w:rFonts w:ascii="宋体" w:eastAsia="宋体" w:hAnsi="宋体" w:cs="宋体" w:hint="eastAsia"/>
                <w:kern w:val="0"/>
                <w:sz w:val="32"/>
                <w:szCs w:val="32"/>
                <w:lang w:bidi="ar"/>
              </w:rPr>
              <w:t>板成功转板其他</w:t>
            </w:r>
            <w:proofErr w:type="gramEnd"/>
            <w:r w:rsidRPr="00E767AF">
              <w:rPr>
                <w:rFonts w:ascii="宋体" w:eastAsia="宋体" w:hAnsi="宋体" w:cs="宋体" w:hint="eastAsia"/>
                <w:kern w:val="0"/>
                <w:sz w:val="32"/>
                <w:szCs w:val="32"/>
                <w:lang w:bidi="ar"/>
              </w:rPr>
              <w:t>四个板挂牌的，给予企业鼓励资金金额为相应板块鼓励资金差额部分； 企业挂牌后，其募集资金投入本市</w:t>
            </w:r>
            <w:proofErr w:type="gramStart"/>
            <w:r w:rsidRPr="00E767AF">
              <w:rPr>
                <w:rFonts w:ascii="宋体" w:eastAsia="宋体" w:hAnsi="宋体" w:cs="宋体" w:hint="eastAsia"/>
                <w:kern w:val="0"/>
                <w:sz w:val="32"/>
                <w:szCs w:val="32"/>
                <w:lang w:bidi="ar"/>
              </w:rPr>
              <w:t>且税收</w:t>
            </w:r>
            <w:proofErr w:type="gramEnd"/>
            <w:r w:rsidRPr="00E767AF">
              <w:rPr>
                <w:rFonts w:ascii="宋体" w:eastAsia="宋体" w:hAnsi="宋体" w:cs="宋体" w:hint="eastAsia"/>
                <w:kern w:val="0"/>
                <w:sz w:val="32"/>
                <w:szCs w:val="32"/>
                <w:lang w:bidi="ar"/>
              </w:rPr>
              <w:t xml:space="preserve">结算留在本市的，按实际投入金额的2‰给予鼓励，最高不超过200万元。 </w:t>
            </w:r>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（四）本市上市和挂牌企业通过配股、增发新股（不包括向大股东定向增发）实现再融资的，其募集资金投入本市</w:t>
            </w:r>
            <w:proofErr w:type="gramStart"/>
            <w:r w:rsidRPr="00E767AF">
              <w:rPr>
                <w:rFonts w:ascii="宋体" w:eastAsia="宋体" w:hAnsi="宋体" w:cs="宋体" w:hint="eastAsia"/>
                <w:kern w:val="0"/>
                <w:sz w:val="32"/>
                <w:szCs w:val="32"/>
                <w:lang w:bidi="ar"/>
              </w:rPr>
              <w:t>且税收</w:t>
            </w:r>
            <w:proofErr w:type="gramEnd"/>
            <w:r w:rsidRPr="00E767AF">
              <w:rPr>
                <w:rFonts w:ascii="宋体" w:eastAsia="宋体" w:hAnsi="宋体" w:cs="宋体" w:hint="eastAsia"/>
                <w:kern w:val="0"/>
                <w:sz w:val="32"/>
                <w:szCs w:val="32"/>
                <w:lang w:bidi="ar"/>
              </w:rPr>
              <w:t xml:space="preserve">结算留在本市的，按实际投入本市金额的2‰进行鼓励，最高不超过200万元。 </w:t>
            </w:r>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（五）企业采用“买壳”“借壳”方式上市，并将上市公司注册地迁至本市的，给予企业鼓励资金150万元。 第六条 以上鼓励资金，税务登记在市本级和</w:t>
            </w:r>
            <w:proofErr w:type="gramStart"/>
            <w:r w:rsidRPr="00E767AF">
              <w:rPr>
                <w:rFonts w:ascii="宋体" w:eastAsia="宋体" w:hAnsi="宋体" w:cs="宋体" w:hint="eastAsia"/>
                <w:kern w:val="0"/>
                <w:sz w:val="32"/>
                <w:szCs w:val="32"/>
                <w:lang w:bidi="ar"/>
              </w:rPr>
              <w:t>东坡区的</w:t>
            </w:r>
            <w:proofErr w:type="gramEnd"/>
            <w:r w:rsidRPr="00E767AF">
              <w:rPr>
                <w:rFonts w:ascii="宋体" w:eastAsia="宋体" w:hAnsi="宋体" w:cs="宋体" w:hint="eastAsia"/>
                <w:kern w:val="0"/>
                <w:sz w:val="32"/>
                <w:szCs w:val="32"/>
                <w:lang w:bidi="ar"/>
              </w:rPr>
              <w:t>，由市财政和</w:t>
            </w:r>
            <w:proofErr w:type="gramStart"/>
            <w:r w:rsidRPr="00E767AF">
              <w:rPr>
                <w:rFonts w:ascii="宋体" w:eastAsia="宋体" w:hAnsi="宋体" w:cs="宋体" w:hint="eastAsia"/>
                <w:kern w:val="0"/>
                <w:sz w:val="32"/>
                <w:szCs w:val="32"/>
                <w:lang w:bidi="ar"/>
              </w:rPr>
              <w:t>东坡区按</w:t>
            </w:r>
            <w:proofErr w:type="gramEnd"/>
            <w:r w:rsidRPr="00E767AF">
              <w:rPr>
                <w:rFonts w:ascii="宋体" w:eastAsia="宋体" w:hAnsi="宋体" w:cs="宋体" w:hint="eastAsia"/>
                <w:kern w:val="0"/>
                <w:sz w:val="32"/>
                <w:szCs w:val="32"/>
                <w:lang w:bidi="ar"/>
              </w:rPr>
              <w:t xml:space="preserve">52：48比例分摊；税务登记在其他县（区）的，由市财政承担30%，县（区）财政承担70%。 </w:t>
            </w:r>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第七条 符合条件的企业，应在每年的12月31日前，按属地原则向所在的县（区）政府金融主管部门申报，并附上相关附件；县（区）政府金融主管部门初审后，报市企业上市工作领导小组办公室（市政府金融办）；市级产业园区辖区</w:t>
            </w:r>
            <w:r w:rsidRPr="00E767AF">
              <w:rPr>
                <w:rFonts w:ascii="宋体" w:eastAsia="宋体" w:hAnsi="宋体" w:cs="宋体" w:hint="eastAsia"/>
                <w:kern w:val="0"/>
                <w:sz w:val="32"/>
                <w:szCs w:val="32"/>
                <w:lang w:bidi="ar"/>
              </w:rPr>
              <w:lastRenderedPageBreak/>
              <w:t xml:space="preserve">内企业直接向市企业上市工作领导小组办公室（市政府金融办）申报；市企业上市工作领导小组办公室（市政府金融办）汇总后，会同市经济和信息化委、市财政局提出审核意见报市政府审定；市政府审定同意后，市财政将承担部分划拨县（区）财政，由县（区）财政统一向企业兑现鼓励资金。 </w:t>
            </w:r>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 xml:space="preserve">第八条 县（区）可在本办法基础上，结合实际制定本地鼓励办法，切实加大支持力度。 </w:t>
            </w:r>
          </w:p>
          <w:p w:rsid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 xml:space="preserve">第九条 本办法由市政府金融办负责解释。 </w:t>
            </w:r>
          </w:p>
          <w:p w:rsidR="00BC3EED" w:rsidRPr="00E767AF" w:rsidRDefault="003C2BA0" w:rsidP="00E767AF">
            <w:pPr>
              <w:widowControl/>
              <w:spacing w:line="450" w:lineRule="atLeast"/>
              <w:jc w:val="left"/>
              <w:rPr>
                <w:rFonts w:ascii="宋体" w:eastAsia="宋体" w:hAnsi="宋体" w:cs="宋体"/>
                <w:kern w:val="0"/>
                <w:sz w:val="32"/>
                <w:szCs w:val="32"/>
                <w:lang w:bidi="ar"/>
              </w:rPr>
            </w:pPr>
            <w:r w:rsidRPr="00E767AF">
              <w:rPr>
                <w:rFonts w:ascii="宋体" w:eastAsia="宋体" w:hAnsi="宋体" w:cs="宋体" w:hint="eastAsia"/>
                <w:kern w:val="0"/>
                <w:sz w:val="32"/>
                <w:szCs w:val="32"/>
                <w:lang w:bidi="ar"/>
              </w:rPr>
              <w:t>第十条 本办法自印发之日起30日后施行，有效期五年，有效期届满后自动失效，不得作为适用依据。本办法施行前，《眉山市企业资本市场融资鼓励办法（试行）》（</w:t>
            </w:r>
            <w:proofErr w:type="gramStart"/>
            <w:r w:rsidRPr="00E767AF">
              <w:rPr>
                <w:rFonts w:ascii="宋体" w:eastAsia="宋体" w:hAnsi="宋体" w:cs="宋体" w:hint="eastAsia"/>
                <w:kern w:val="0"/>
                <w:sz w:val="32"/>
                <w:szCs w:val="32"/>
                <w:lang w:bidi="ar"/>
              </w:rPr>
              <w:t>眉府办</w:t>
            </w:r>
            <w:proofErr w:type="gramEnd"/>
            <w:r w:rsidRPr="00E767AF">
              <w:rPr>
                <w:rFonts w:ascii="宋体" w:eastAsia="宋体" w:hAnsi="宋体" w:cs="宋体" w:hint="eastAsia"/>
                <w:kern w:val="0"/>
                <w:sz w:val="32"/>
                <w:szCs w:val="32"/>
                <w:lang w:bidi="ar"/>
              </w:rPr>
              <w:t>发〔2016〕7号）未包括的鼓励项目和内容，参照本办法施行。</w:t>
            </w:r>
            <w:proofErr w:type="gramStart"/>
            <w:r w:rsidRPr="00E767AF">
              <w:rPr>
                <w:rFonts w:ascii="宋体" w:eastAsia="宋体" w:hAnsi="宋体" w:cs="宋体" w:hint="eastAsia"/>
                <w:kern w:val="0"/>
                <w:sz w:val="32"/>
                <w:szCs w:val="32"/>
                <w:lang w:bidi="ar"/>
              </w:rPr>
              <w:t>眉府办</w:t>
            </w:r>
            <w:proofErr w:type="gramEnd"/>
            <w:r w:rsidRPr="00E767AF">
              <w:rPr>
                <w:rFonts w:ascii="宋体" w:eastAsia="宋体" w:hAnsi="宋体" w:cs="宋体" w:hint="eastAsia"/>
                <w:kern w:val="0"/>
                <w:sz w:val="32"/>
                <w:szCs w:val="32"/>
                <w:lang w:bidi="ar"/>
              </w:rPr>
              <w:t xml:space="preserve">发〔2016〕7号自本办法生效之日起废止。 </w:t>
            </w:r>
          </w:p>
        </w:tc>
      </w:tr>
    </w:tbl>
    <w:p w:rsidR="00BC3EED" w:rsidRPr="003C2BA0" w:rsidRDefault="00BC3EED">
      <w:pPr>
        <w:rPr>
          <w:sz w:val="32"/>
          <w:szCs w:val="32"/>
        </w:rPr>
      </w:pPr>
    </w:p>
    <w:sectPr w:rsidR="00BC3EED" w:rsidRPr="003C2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11FED"/>
    <w:multiLevelType w:val="hybridMultilevel"/>
    <w:tmpl w:val="9DF43FA2"/>
    <w:lvl w:ilvl="0" w:tplc="8614215E">
      <w:start w:val="1"/>
      <w:numFmt w:val="japaneseCounting"/>
      <w:lvlText w:val="第%1条"/>
      <w:lvlJc w:val="left"/>
      <w:pPr>
        <w:ind w:left="1545" w:hanging="112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A06C9"/>
    <w:rsid w:val="003C2BA0"/>
    <w:rsid w:val="00BC3EED"/>
    <w:rsid w:val="00E767AF"/>
    <w:rsid w:val="505A0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FC878E-381E-4590-B145-26634F75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232323"/>
      <w:u w:val="none"/>
      <w:bdr w:val="none" w:sz="0" w:space="0" w:color="auto"/>
    </w:rPr>
  </w:style>
  <w:style w:type="character" w:styleId="a4">
    <w:name w:val="Hyperlink"/>
    <w:basedOn w:val="a0"/>
    <w:rPr>
      <w:color w:val="232323"/>
      <w:u w:val="none"/>
      <w:bdr w:val="none" w:sz="0" w:space="0" w:color="auto"/>
    </w:rPr>
  </w:style>
  <w:style w:type="character" w:customStyle="1" w:styleId="hd-icon2">
    <w:name w:val="hd-icon2"/>
    <w:basedOn w:val="a0"/>
  </w:style>
  <w:style w:type="character" w:customStyle="1" w:styleId="icon-xxgk">
    <w:name w:val="icon-xxgk"/>
    <w:basedOn w:val="a0"/>
  </w:style>
  <w:style w:type="character" w:customStyle="1" w:styleId="icon-xxgk1">
    <w:name w:val="icon-xxgk1"/>
    <w:basedOn w:val="a0"/>
  </w:style>
  <w:style w:type="character" w:customStyle="1" w:styleId="hd-icon1">
    <w:name w:val="hd-icon1"/>
    <w:basedOn w:val="a0"/>
  </w:style>
  <w:style w:type="character" w:customStyle="1" w:styleId="icon-bsfw">
    <w:name w:val="icon-bsfw"/>
    <w:basedOn w:val="a0"/>
  </w:style>
  <w:style w:type="character" w:customStyle="1" w:styleId="icon-bsfw1">
    <w:name w:val="icon-bsfw1"/>
    <w:basedOn w:val="a0"/>
  </w:style>
  <w:style w:type="character" w:customStyle="1" w:styleId="icon-hdjl">
    <w:name w:val="icon-hdjl"/>
    <w:basedOn w:val="a0"/>
  </w:style>
  <w:style w:type="character" w:customStyle="1" w:styleId="icon-hdjl1">
    <w:name w:val="icon-hdjl1"/>
    <w:basedOn w:val="a0"/>
  </w:style>
  <w:style w:type="character" w:customStyle="1" w:styleId="zxft-tit">
    <w:name w:val="zxft-tit"/>
    <w:basedOn w:val="a0"/>
    <w:rPr>
      <w:b/>
      <w:color w:val="CB0306"/>
      <w:sz w:val="24"/>
      <w:szCs w:val="24"/>
      <w:bdr w:val="none" w:sz="0" w:space="0" w:color="auto"/>
    </w:rPr>
  </w:style>
  <w:style w:type="character" w:customStyle="1" w:styleId="hd-icon3">
    <w:name w:val="hd-icon3"/>
    <w:basedOn w:val="a0"/>
  </w:style>
  <w:style w:type="character" w:customStyle="1" w:styleId="hd-icon4">
    <w:name w:val="hd-icon4"/>
    <w:basedOn w:val="a0"/>
  </w:style>
  <w:style w:type="character" w:customStyle="1" w:styleId="tit">
    <w:name w:val="tit"/>
    <w:basedOn w:val="a0"/>
    <w:rPr>
      <w:color w:val="BD090C"/>
      <w:sz w:val="30"/>
      <w:szCs w:val="30"/>
      <w:bdr w:val="none" w:sz="0" w:space="0" w:color="auto"/>
    </w:rPr>
  </w:style>
  <w:style w:type="character" w:customStyle="1" w:styleId="tit1">
    <w:name w:val="tit1"/>
    <w:basedOn w:val="a0"/>
    <w:rPr>
      <w:sz w:val="24"/>
      <w:szCs w:val="24"/>
    </w:rPr>
  </w:style>
  <w:style w:type="character" w:customStyle="1" w:styleId="dqwz">
    <w:name w:val="dqwz"/>
    <w:basedOn w:val="a0"/>
  </w:style>
  <w:style w:type="character" w:customStyle="1" w:styleId="text2">
    <w:name w:val="text2"/>
    <w:basedOn w:val="a0"/>
    <w:rPr>
      <w:color w:val="FFFFFF"/>
      <w:sz w:val="24"/>
      <w:szCs w:val="24"/>
      <w:bdr w:val="none" w:sz="0" w:space="0" w:color="auto"/>
      <w:shd w:val="clear" w:color="auto" w:fill="CC0407"/>
    </w:rPr>
  </w:style>
  <w:style w:type="character" w:customStyle="1" w:styleId="more4">
    <w:name w:val="more4"/>
    <w:basedOn w:val="a0"/>
  </w:style>
  <w:style w:type="character" w:customStyle="1" w:styleId="tex">
    <w:name w:val="tex"/>
    <w:basedOn w:val="a0"/>
    <w:rPr>
      <w:color w:val="CC0407"/>
      <w:sz w:val="22"/>
      <w:szCs w:val="22"/>
      <w:bdr w:val="none" w:sz="0" w:space="0" w:color="auto"/>
    </w:rPr>
  </w:style>
  <w:style w:type="character" w:customStyle="1" w:styleId="timestyle700441">
    <w:name w:val="timestyle700441"/>
    <w:basedOn w:val="a0"/>
    <w:rPr>
      <w:sz w:val="18"/>
      <w:szCs w:val="18"/>
    </w:rPr>
  </w:style>
  <w:style w:type="character" w:customStyle="1" w:styleId="authorstyle700441">
    <w:name w:val="authorstyle700441"/>
    <w:basedOn w:val="a0"/>
    <w:rPr>
      <w:sz w:val="18"/>
      <w:szCs w:val="18"/>
    </w:rPr>
  </w:style>
  <w:style w:type="paragraph" w:styleId="a5">
    <w:name w:val="List Paragraph"/>
    <w:basedOn w:val="a"/>
    <w:uiPriority w:val="99"/>
    <w:rsid w:val="00E767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1508</Characters>
  <Application>Microsoft Office Word</Application>
  <DocSecurity>0</DocSecurity>
  <Lines>12</Lines>
  <Paragraphs>3</Paragraphs>
  <ScaleCrop>false</ScaleCrop>
  <Company>微软中国</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dc:creator>
  <cp:lastModifiedBy>个人用户</cp:lastModifiedBy>
  <cp:revision>4</cp:revision>
  <dcterms:created xsi:type="dcterms:W3CDTF">2018-05-23T19:22:00Z</dcterms:created>
  <dcterms:modified xsi:type="dcterms:W3CDTF">2018-09-10T02:03:00Z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