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9AC" w:rsidRPr="001309AC" w:rsidRDefault="001309AC" w:rsidP="001309AC">
      <w:pPr>
        <w:widowControl/>
        <w:jc w:val="center"/>
        <w:rPr>
          <w:rFonts w:ascii="Simsun" w:eastAsia="宋体" w:hAnsi="Simsun" w:cs="宋体"/>
          <w:color w:val="000000"/>
          <w:kern w:val="0"/>
          <w:sz w:val="27"/>
          <w:szCs w:val="27"/>
        </w:rPr>
      </w:pPr>
      <w:bookmarkStart w:id="0" w:name="_GoBack"/>
      <w:r w:rsidRPr="001309AC">
        <w:rPr>
          <w:rFonts w:ascii="宋体" w:eastAsia="宋体" w:hAnsi="宋体" w:cs="宋体" w:hint="eastAsia"/>
          <w:b/>
          <w:bCs/>
          <w:color w:val="000000"/>
          <w:spacing w:val="-10"/>
          <w:kern w:val="0"/>
          <w:sz w:val="44"/>
          <w:szCs w:val="44"/>
        </w:rPr>
        <w:t>昆山市科技人才企业贷款风险补偿资金实施细则</w:t>
      </w:r>
      <w:bookmarkEnd w:id="0"/>
    </w:p>
    <w:p w:rsidR="001309AC" w:rsidRPr="001309AC" w:rsidRDefault="001309AC" w:rsidP="001309AC">
      <w:pPr>
        <w:widowControl/>
        <w:spacing w:line="600" w:lineRule="atLeast"/>
        <w:ind w:firstLine="64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第一条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为进一步规范我市科技、人才企业贷款风险补偿资金（以下简称</w:t>
      </w:r>
      <w:r w:rsidRPr="001309AC">
        <w:rPr>
          <w:rFonts w:ascii="Times New Roman" w:eastAsia="宋体" w:hAnsi="Times New Roman" w:cs="Times New Roman"/>
          <w:color w:val="000000"/>
          <w:kern w:val="0"/>
          <w:sz w:val="32"/>
          <w:szCs w:val="32"/>
        </w:rPr>
        <w:t>“</w:t>
      </w:r>
      <w:r w:rsidRPr="001309AC">
        <w:rPr>
          <w:rFonts w:ascii="仿宋_GB2312" w:eastAsia="仿宋_GB2312" w:hAnsi="Simsun" w:cs="宋体" w:hint="eastAsia"/>
          <w:color w:val="000000"/>
          <w:kern w:val="0"/>
          <w:sz w:val="32"/>
          <w:szCs w:val="32"/>
        </w:rPr>
        <w:t>风险池</w:t>
      </w:r>
      <w:r w:rsidRPr="001309AC">
        <w:rPr>
          <w:rFonts w:ascii="Times New Roman" w:eastAsia="宋体" w:hAnsi="Times New Roman" w:cs="Times New Roman"/>
          <w:color w:val="000000"/>
          <w:kern w:val="0"/>
          <w:sz w:val="32"/>
          <w:szCs w:val="32"/>
        </w:rPr>
        <w:t>”</w:t>
      </w:r>
      <w:r w:rsidRPr="001309AC">
        <w:rPr>
          <w:rFonts w:ascii="仿宋_GB2312" w:eastAsia="仿宋_GB2312" w:hAnsi="Simsun" w:cs="宋体" w:hint="eastAsia"/>
          <w:color w:val="000000"/>
          <w:kern w:val="0"/>
          <w:sz w:val="32"/>
          <w:szCs w:val="32"/>
        </w:rPr>
        <w:t>）的管理，切实发挥财政资金的引导作用，改善科技、人才企业的融资环境，根据市委、市政府《关于推进转型升级创新发展财政扶持若干政策》（</w:t>
      </w:r>
      <w:proofErr w:type="gramStart"/>
      <w:r w:rsidRPr="001309AC">
        <w:rPr>
          <w:rFonts w:ascii="仿宋_GB2312" w:eastAsia="仿宋_GB2312" w:hAnsi="Simsun" w:cs="宋体" w:hint="eastAsia"/>
          <w:color w:val="000000"/>
          <w:kern w:val="0"/>
          <w:sz w:val="32"/>
          <w:szCs w:val="32"/>
        </w:rPr>
        <w:t>昆委〔</w:t>
      </w:r>
      <w:r w:rsidRPr="001309AC">
        <w:rPr>
          <w:rFonts w:ascii="Times New Roman" w:eastAsia="宋体" w:hAnsi="Times New Roman" w:cs="Times New Roman"/>
          <w:color w:val="000000"/>
          <w:kern w:val="0"/>
          <w:sz w:val="32"/>
          <w:szCs w:val="32"/>
        </w:rPr>
        <w:t>2015</w:t>
      </w:r>
      <w:r w:rsidRPr="001309AC">
        <w:rPr>
          <w:rFonts w:ascii="仿宋_GB2312" w:eastAsia="仿宋_GB2312" w:hAnsi="Simsun" w:cs="宋体" w:hint="eastAsia"/>
          <w:color w:val="000000"/>
          <w:kern w:val="0"/>
          <w:sz w:val="32"/>
          <w:szCs w:val="32"/>
        </w:rPr>
        <w:t>〕</w:t>
      </w:r>
      <w:proofErr w:type="gramEnd"/>
      <w:r w:rsidRPr="001309AC">
        <w:rPr>
          <w:rFonts w:ascii="Times New Roman" w:eastAsia="宋体" w:hAnsi="Times New Roman" w:cs="Times New Roman"/>
          <w:color w:val="000000"/>
          <w:kern w:val="0"/>
          <w:sz w:val="32"/>
          <w:szCs w:val="32"/>
        </w:rPr>
        <w:t>28</w:t>
      </w:r>
      <w:r w:rsidRPr="001309AC">
        <w:rPr>
          <w:rFonts w:ascii="仿宋_GB2312" w:eastAsia="仿宋_GB2312" w:hAnsi="Simsun" w:cs="宋体" w:hint="eastAsia"/>
          <w:color w:val="000000"/>
          <w:kern w:val="0"/>
          <w:sz w:val="32"/>
          <w:szCs w:val="32"/>
        </w:rPr>
        <w:t>号），《江苏省科技成果转化风险补偿专项资金管理办法》（苏财</w:t>
      </w:r>
      <w:proofErr w:type="gramStart"/>
      <w:r w:rsidRPr="001309AC">
        <w:rPr>
          <w:rFonts w:ascii="仿宋_GB2312" w:eastAsia="仿宋_GB2312" w:hAnsi="Simsun" w:cs="宋体" w:hint="eastAsia"/>
          <w:color w:val="000000"/>
          <w:kern w:val="0"/>
          <w:sz w:val="32"/>
          <w:szCs w:val="32"/>
        </w:rPr>
        <w:t>规</w:t>
      </w:r>
      <w:proofErr w:type="gramEnd"/>
      <w:r w:rsidRPr="001309AC">
        <w:rPr>
          <w:rFonts w:ascii="仿宋_GB2312" w:eastAsia="仿宋_GB2312" w:hAnsi="Simsun" w:cs="宋体" w:hint="eastAsia"/>
          <w:color w:val="000000"/>
          <w:kern w:val="0"/>
          <w:sz w:val="32"/>
          <w:szCs w:val="32"/>
        </w:rPr>
        <w:t>〔</w:t>
      </w:r>
      <w:r w:rsidRPr="001309AC">
        <w:rPr>
          <w:rFonts w:ascii="Times New Roman" w:eastAsia="宋体" w:hAnsi="Times New Roman" w:cs="Times New Roman"/>
          <w:color w:val="000000"/>
          <w:kern w:val="0"/>
          <w:sz w:val="32"/>
          <w:szCs w:val="32"/>
        </w:rPr>
        <w:t>2014</w:t>
      </w:r>
      <w:r w:rsidRPr="001309AC">
        <w:rPr>
          <w:rFonts w:ascii="仿宋_GB2312" w:eastAsia="仿宋_GB2312" w:hAnsi="Simsun" w:cs="宋体" w:hint="eastAsia"/>
          <w:color w:val="000000"/>
          <w:kern w:val="0"/>
          <w:sz w:val="32"/>
          <w:szCs w:val="32"/>
        </w:rPr>
        <w:t>〕</w:t>
      </w:r>
      <w:r w:rsidRPr="001309AC">
        <w:rPr>
          <w:rFonts w:ascii="Times New Roman" w:eastAsia="宋体" w:hAnsi="Times New Roman" w:cs="Times New Roman"/>
          <w:color w:val="000000"/>
          <w:kern w:val="0"/>
          <w:sz w:val="32"/>
          <w:szCs w:val="32"/>
        </w:rPr>
        <w:t>36</w:t>
      </w:r>
      <w:r w:rsidRPr="001309AC">
        <w:rPr>
          <w:rFonts w:ascii="仿宋_GB2312" w:eastAsia="仿宋_GB2312" w:hAnsi="Simsun" w:cs="宋体" w:hint="eastAsia"/>
          <w:color w:val="000000"/>
          <w:kern w:val="0"/>
          <w:sz w:val="32"/>
          <w:szCs w:val="32"/>
        </w:rPr>
        <w:t>号）和《苏州市科技型中小企业信贷风险补偿专项资金实施细则》（苏科</w:t>
      </w:r>
      <w:proofErr w:type="gramStart"/>
      <w:r w:rsidRPr="001309AC">
        <w:rPr>
          <w:rFonts w:ascii="仿宋_GB2312" w:eastAsia="仿宋_GB2312" w:hAnsi="Simsun" w:cs="宋体" w:hint="eastAsia"/>
          <w:color w:val="000000"/>
          <w:kern w:val="0"/>
          <w:sz w:val="32"/>
          <w:szCs w:val="32"/>
        </w:rPr>
        <w:t>规</w:t>
      </w:r>
      <w:proofErr w:type="gramEnd"/>
      <w:r w:rsidRPr="001309AC">
        <w:rPr>
          <w:rFonts w:ascii="仿宋_GB2312" w:eastAsia="仿宋_GB2312" w:hAnsi="Simsun" w:cs="宋体" w:hint="eastAsia"/>
          <w:color w:val="000000"/>
          <w:kern w:val="0"/>
          <w:sz w:val="32"/>
          <w:szCs w:val="32"/>
        </w:rPr>
        <w:t>〔</w:t>
      </w:r>
      <w:r w:rsidRPr="001309AC">
        <w:rPr>
          <w:rFonts w:ascii="Times New Roman" w:eastAsia="宋体" w:hAnsi="Times New Roman" w:cs="Times New Roman"/>
          <w:color w:val="000000"/>
          <w:kern w:val="0"/>
          <w:sz w:val="32"/>
          <w:szCs w:val="32"/>
        </w:rPr>
        <w:t>2014</w:t>
      </w:r>
      <w:r w:rsidRPr="001309AC">
        <w:rPr>
          <w:rFonts w:ascii="仿宋_GB2312" w:eastAsia="仿宋_GB2312" w:hAnsi="Simsun" w:cs="宋体" w:hint="eastAsia"/>
          <w:color w:val="000000"/>
          <w:kern w:val="0"/>
          <w:sz w:val="32"/>
          <w:szCs w:val="32"/>
        </w:rPr>
        <w:t>〕</w:t>
      </w:r>
      <w:r w:rsidRPr="001309AC">
        <w:rPr>
          <w:rFonts w:ascii="Times New Roman" w:eastAsia="宋体" w:hAnsi="Times New Roman" w:cs="Times New Roman"/>
          <w:color w:val="000000"/>
          <w:kern w:val="0"/>
          <w:sz w:val="32"/>
          <w:szCs w:val="32"/>
        </w:rPr>
        <w:t>1</w:t>
      </w:r>
      <w:r w:rsidRPr="001309AC">
        <w:rPr>
          <w:rFonts w:ascii="仿宋_GB2312" w:eastAsia="仿宋_GB2312" w:hAnsi="Simsun" w:cs="宋体" w:hint="eastAsia"/>
          <w:color w:val="000000"/>
          <w:kern w:val="0"/>
          <w:sz w:val="32"/>
          <w:szCs w:val="32"/>
        </w:rPr>
        <w:t>号），结合昆山实际，制定本细则。</w:t>
      </w:r>
    </w:p>
    <w:p w:rsidR="001309AC" w:rsidRPr="001309AC" w:rsidRDefault="001309AC" w:rsidP="001309AC">
      <w:pPr>
        <w:widowControl/>
        <w:spacing w:line="600" w:lineRule="atLeast"/>
        <w:ind w:firstLine="64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第二条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风险</w:t>
      </w:r>
      <w:proofErr w:type="gramStart"/>
      <w:r w:rsidRPr="001309AC">
        <w:rPr>
          <w:rFonts w:ascii="仿宋_GB2312" w:eastAsia="仿宋_GB2312" w:hAnsi="Simsun" w:cs="宋体" w:hint="eastAsia"/>
          <w:color w:val="000000"/>
          <w:kern w:val="0"/>
          <w:sz w:val="32"/>
          <w:szCs w:val="32"/>
        </w:rPr>
        <w:t>池作为</w:t>
      </w:r>
      <w:proofErr w:type="gramEnd"/>
      <w:r w:rsidRPr="001309AC">
        <w:rPr>
          <w:rFonts w:ascii="仿宋_GB2312" w:eastAsia="仿宋_GB2312" w:hAnsi="Simsun" w:cs="宋体" w:hint="eastAsia"/>
          <w:color w:val="000000"/>
          <w:kern w:val="0"/>
          <w:sz w:val="32"/>
          <w:szCs w:val="32"/>
        </w:rPr>
        <w:t>科技、人才贷款风险补偿专项资金，主要用于推动银行加大对科技、人才企业的贷款，对放贷银行为科技、人才企业贷款所产生的损失进行补偿，为科技、人才企业承担有限补偿责任。</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仿宋_GB2312" w:eastAsia="仿宋_GB2312" w:hAnsi="Simsun" w:cs="宋体" w:hint="eastAsia"/>
          <w:color w:val="000000"/>
          <w:kern w:val="0"/>
          <w:sz w:val="32"/>
          <w:szCs w:val="32"/>
        </w:rPr>
        <w:t>科技人才企业包括：</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Times New Roman" w:eastAsia="宋体" w:hAnsi="Times New Roman" w:cs="Times New Roman"/>
          <w:color w:val="000000"/>
          <w:kern w:val="0"/>
          <w:sz w:val="32"/>
          <w:szCs w:val="32"/>
        </w:rPr>
        <w:t>1. </w:t>
      </w:r>
      <w:r w:rsidRPr="001309AC">
        <w:rPr>
          <w:rFonts w:ascii="仿宋_GB2312" w:eastAsia="仿宋_GB2312" w:hAnsi="Simsun" w:cs="宋体" w:hint="eastAsia"/>
          <w:color w:val="000000"/>
          <w:kern w:val="0"/>
          <w:sz w:val="32"/>
          <w:szCs w:val="32"/>
        </w:rPr>
        <w:t>经省级部门认定的高新技术企业，经苏州市认定的</w:t>
      </w:r>
      <w:r w:rsidRPr="001309AC">
        <w:rPr>
          <w:rFonts w:ascii="Times New Roman" w:eastAsia="宋体" w:hAnsi="Times New Roman" w:cs="Times New Roman"/>
          <w:color w:val="000000"/>
          <w:kern w:val="0"/>
          <w:sz w:val="32"/>
          <w:szCs w:val="32"/>
        </w:rPr>
        <w:t>“</w:t>
      </w:r>
      <w:r w:rsidRPr="001309AC">
        <w:rPr>
          <w:rFonts w:ascii="仿宋_GB2312" w:eastAsia="仿宋_GB2312" w:hAnsi="Simsun" w:cs="宋体" w:hint="eastAsia"/>
          <w:color w:val="000000"/>
          <w:kern w:val="0"/>
          <w:sz w:val="32"/>
          <w:szCs w:val="32"/>
        </w:rPr>
        <w:t>瞪羚计划</w:t>
      </w:r>
      <w:r w:rsidRPr="001309AC">
        <w:rPr>
          <w:rFonts w:ascii="Times New Roman" w:eastAsia="宋体" w:hAnsi="Times New Roman" w:cs="Times New Roman"/>
          <w:color w:val="000000"/>
          <w:kern w:val="0"/>
          <w:sz w:val="32"/>
          <w:szCs w:val="32"/>
        </w:rPr>
        <w:t>”</w:t>
      </w:r>
      <w:r w:rsidRPr="001309AC">
        <w:rPr>
          <w:rFonts w:ascii="仿宋_GB2312" w:eastAsia="仿宋_GB2312" w:hAnsi="Simsun" w:cs="宋体" w:hint="eastAsia"/>
          <w:color w:val="000000"/>
          <w:kern w:val="0"/>
          <w:sz w:val="32"/>
          <w:szCs w:val="32"/>
        </w:rPr>
        <w:t>企业、</w:t>
      </w:r>
      <w:r w:rsidRPr="001309AC">
        <w:rPr>
          <w:rFonts w:ascii="Times New Roman" w:eastAsia="宋体" w:hAnsi="Times New Roman" w:cs="Times New Roman"/>
          <w:color w:val="000000"/>
          <w:kern w:val="0"/>
          <w:sz w:val="32"/>
          <w:szCs w:val="32"/>
        </w:rPr>
        <w:t>“</w:t>
      </w:r>
      <w:r w:rsidRPr="001309AC">
        <w:rPr>
          <w:rFonts w:ascii="仿宋_GB2312" w:eastAsia="仿宋_GB2312" w:hAnsi="Simsun" w:cs="宋体" w:hint="eastAsia"/>
          <w:color w:val="000000"/>
          <w:kern w:val="0"/>
          <w:sz w:val="32"/>
          <w:szCs w:val="32"/>
        </w:rPr>
        <w:t>雏鹰计划</w:t>
      </w:r>
      <w:r w:rsidRPr="001309AC">
        <w:rPr>
          <w:rFonts w:ascii="Times New Roman" w:eastAsia="宋体" w:hAnsi="Times New Roman" w:cs="Times New Roman"/>
          <w:color w:val="000000"/>
          <w:kern w:val="0"/>
          <w:sz w:val="32"/>
          <w:szCs w:val="32"/>
        </w:rPr>
        <w:t>”</w:t>
      </w:r>
      <w:r w:rsidRPr="001309AC">
        <w:rPr>
          <w:rFonts w:ascii="仿宋_GB2312" w:eastAsia="仿宋_GB2312" w:hAnsi="Simsun" w:cs="宋体" w:hint="eastAsia"/>
          <w:color w:val="000000"/>
          <w:kern w:val="0"/>
          <w:sz w:val="32"/>
          <w:szCs w:val="32"/>
        </w:rPr>
        <w:t>企业，以及其他经市科技局认定的重点支持企业。</w:t>
      </w:r>
    </w:p>
    <w:p w:rsidR="001309AC" w:rsidRPr="001309AC" w:rsidRDefault="001309AC" w:rsidP="001309AC">
      <w:pPr>
        <w:widowControl/>
        <w:spacing w:line="600" w:lineRule="atLeast"/>
        <w:ind w:firstLine="640"/>
        <w:jc w:val="left"/>
        <w:rPr>
          <w:rFonts w:ascii="Simsun" w:eastAsia="宋体" w:hAnsi="Simsun" w:cs="宋体"/>
          <w:color w:val="000000"/>
          <w:kern w:val="0"/>
          <w:sz w:val="27"/>
          <w:szCs w:val="27"/>
        </w:rPr>
      </w:pPr>
      <w:r w:rsidRPr="001309AC">
        <w:rPr>
          <w:rFonts w:ascii="Times New Roman" w:eastAsia="宋体" w:hAnsi="Times New Roman" w:cs="Times New Roman"/>
          <w:color w:val="000000"/>
          <w:kern w:val="0"/>
          <w:sz w:val="32"/>
          <w:szCs w:val="32"/>
        </w:rPr>
        <w:t>2. </w:t>
      </w:r>
      <w:r w:rsidRPr="001309AC">
        <w:rPr>
          <w:rFonts w:ascii="仿宋_GB2312" w:eastAsia="仿宋_GB2312" w:hAnsi="Simsun" w:cs="宋体" w:hint="eastAsia"/>
          <w:color w:val="000000"/>
          <w:kern w:val="0"/>
          <w:sz w:val="32"/>
          <w:szCs w:val="32"/>
        </w:rPr>
        <w:t>国家千人计划人才、省双创人才、姑苏人才以及昆山双创等人才所创办的企业。</w:t>
      </w:r>
    </w:p>
    <w:p w:rsidR="001309AC" w:rsidRPr="001309AC" w:rsidRDefault="001309AC" w:rsidP="001309AC">
      <w:pPr>
        <w:widowControl/>
        <w:spacing w:line="600" w:lineRule="atLeast"/>
        <w:ind w:firstLine="627"/>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第三条</w:t>
      </w:r>
      <w:r w:rsidRPr="001309AC">
        <w:rPr>
          <w:rFonts w:ascii="Times New Roman" w:eastAsia="宋体" w:hAnsi="Times New Roman" w:cs="Times New Roman"/>
          <w:color w:val="000000"/>
          <w:kern w:val="0"/>
          <w:sz w:val="32"/>
          <w:szCs w:val="32"/>
        </w:rPr>
        <w:t> </w:t>
      </w:r>
      <w:proofErr w:type="gramStart"/>
      <w:r w:rsidRPr="001309AC">
        <w:rPr>
          <w:rFonts w:ascii="仿宋_GB2312" w:eastAsia="仿宋_GB2312" w:hAnsi="Simsun" w:cs="宋体" w:hint="eastAsia"/>
          <w:color w:val="000000"/>
          <w:kern w:val="0"/>
          <w:sz w:val="32"/>
          <w:szCs w:val="32"/>
        </w:rPr>
        <w:t>风险池由科技</w:t>
      </w:r>
      <w:proofErr w:type="gramEnd"/>
      <w:r w:rsidRPr="001309AC">
        <w:rPr>
          <w:rFonts w:ascii="仿宋_GB2312" w:eastAsia="仿宋_GB2312" w:hAnsi="Simsun" w:cs="宋体" w:hint="eastAsia"/>
          <w:color w:val="000000"/>
          <w:kern w:val="0"/>
          <w:sz w:val="32"/>
          <w:szCs w:val="32"/>
        </w:rPr>
        <w:t>局下属市生产力促进中心（以下简称</w:t>
      </w:r>
      <w:r w:rsidRPr="001309AC">
        <w:rPr>
          <w:rFonts w:ascii="Times New Roman" w:eastAsia="宋体" w:hAnsi="Times New Roman" w:cs="Times New Roman"/>
          <w:color w:val="000000"/>
          <w:kern w:val="0"/>
          <w:sz w:val="32"/>
          <w:szCs w:val="32"/>
        </w:rPr>
        <w:t>“</w:t>
      </w:r>
      <w:r w:rsidRPr="001309AC">
        <w:rPr>
          <w:rFonts w:ascii="仿宋_GB2312" w:eastAsia="仿宋_GB2312" w:hAnsi="Simsun" w:cs="宋体" w:hint="eastAsia"/>
          <w:color w:val="000000"/>
          <w:kern w:val="0"/>
          <w:sz w:val="32"/>
          <w:szCs w:val="32"/>
        </w:rPr>
        <w:t>中心</w:t>
      </w:r>
      <w:r w:rsidRPr="001309AC">
        <w:rPr>
          <w:rFonts w:ascii="Times New Roman" w:eastAsia="宋体" w:hAnsi="Times New Roman" w:cs="Times New Roman"/>
          <w:color w:val="000000"/>
          <w:kern w:val="0"/>
          <w:sz w:val="32"/>
          <w:szCs w:val="32"/>
        </w:rPr>
        <w:t>”</w:t>
      </w:r>
      <w:r w:rsidRPr="001309AC">
        <w:rPr>
          <w:rFonts w:ascii="仿宋_GB2312" w:eastAsia="仿宋_GB2312" w:hAnsi="Simsun" w:cs="宋体" w:hint="eastAsia"/>
          <w:color w:val="000000"/>
          <w:kern w:val="0"/>
          <w:sz w:val="32"/>
          <w:szCs w:val="32"/>
        </w:rPr>
        <w:t>）管理运作，在我市相关合作银行设立资金专</w:t>
      </w:r>
      <w:r w:rsidRPr="001309AC">
        <w:rPr>
          <w:rFonts w:ascii="仿宋_GB2312" w:eastAsia="仿宋_GB2312" w:hAnsi="Simsun" w:cs="宋体" w:hint="eastAsia"/>
          <w:color w:val="000000"/>
          <w:kern w:val="0"/>
          <w:sz w:val="32"/>
          <w:szCs w:val="32"/>
        </w:rPr>
        <w:lastRenderedPageBreak/>
        <w:t>户，实行专款专用，不发生风险代偿不动用资金，贷款到期后继续滚动使用。</w:t>
      </w:r>
    </w:p>
    <w:p w:rsidR="001309AC" w:rsidRPr="001309AC" w:rsidRDefault="001309AC" w:rsidP="001309AC">
      <w:pPr>
        <w:widowControl/>
        <w:spacing w:line="600" w:lineRule="atLeast"/>
        <w:ind w:firstLine="627"/>
        <w:jc w:val="left"/>
        <w:rPr>
          <w:rFonts w:ascii="Simsun" w:eastAsia="宋体" w:hAnsi="Simsun" w:cs="宋体"/>
          <w:color w:val="000000"/>
          <w:kern w:val="0"/>
          <w:sz w:val="27"/>
          <w:szCs w:val="27"/>
        </w:rPr>
      </w:pPr>
      <w:r w:rsidRPr="001309AC">
        <w:rPr>
          <w:rFonts w:ascii="仿宋_GB2312" w:eastAsia="仿宋_GB2312" w:hAnsi="Simsun" w:cs="宋体" w:hint="eastAsia"/>
          <w:color w:val="000000"/>
          <w:kern w:val="0"/>
          <w:sz w:val="32"/>
          <w:szCs w:val="32"/>
        </w:rPr>
        <w:t>本级</w:t>
      </w:r>
      <w:r w:rsidRPr="001309AC">
        <w:rPr>
          <w:rFonts w:ascii="Times New Roman" w:eastAsia="宋体" w:hAnsi="Times New Roman" w:cs="Times New Roman"/>
          <w:color w:val="000000"/>
          <w:kern w:val="0"/>
          <w:sz w:val="32"/>
          <w:szCs w:val="32"/>
        </w:rPr>
        <w:t>“</w:t>
      </w:r>
      <w:r w:rsidRPr="001309AC">
        <w:rPr>
          <w:rFonts w:ascii="仿宋_GB2312" w:eastAsia="仿宋_GB2312" w:hAnsi="Simsun" w:cs="宋体" w:hint="eastAsia"/>
          <w:color w:val="000000"/>
          <w:kern w:val="0"/>
          <w:sz w:val="32"/>
          <w:szCs w:val="32"/>
        </w:rPr>
        <w:t>风险池</w:t>
      </w:r>
      <w:r w:rsidRPr="001309AC">
        <w:rPr>
          <w:rFonts w:ascii="Times New Roman" w:eastAsia="宋体" w:hAnsi="Times New Roman" w:cs="Times New Roman"/>
          <w:color w:val="000000"/>
          <w:kern w:val="0"/>
          <w:sz w:val="32"/>
          <w:szCs w:val="32"/>
        </w:rPr>
        <w:t>”</w:t>
      </w:r>
      <w:r w:rsidRPr="001309AC">
        <w:rPr>
          <w:rFonts w:ascii="仿宋_GB2312" w:eastAsia="仿宋_GB2312" w:hAnsi="Simsun" w:cs="宋体" w:hint="eastAsia"/>
          <w:color w:val="000000"/>
          <w:kern w:val="0"/>
          <w:sz w:val="32"/>
          <w:szCs w:val="32"/>
        </w:rPr>
        <w:t>资金对应上级相关风险补偿资金项目并与之形成上下联动，优势互补。</w:t>
      </w:r>
    </w:p>
    <w:p w:rsidR="001309AC" w:rsidRPr="001309AC" w:rsidRDefault="001309AC" w:rsidP="001309AC">
      <w:pPr>
        <w:widowControl/>
        <w:spacing w:line="600" w:lineRule="atLeast"/>
        <w:ind w:firstLine="627"/>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第四条</w:t>
      </w:r>
      <w:r w:rsidRPr="001309AC">
        <w:rPr>
          <w:rFonts w:ascii="Times New Roman" w:eastAsia="宋体" w:hAnsi="Times New Roman" w:cs="Times New Roman"/>
          <w:color w:val="000000"/>
          <w:kern w:val="0"/>
          <w:sz w:val="32"/>
          <w:szCs w:val="32"/>
        </w:rPr>
        <w:t> </w:t>
      </w:r>
      <w:proofErr w:type="gramStart"/>
      <w:r w:rsidRPr="001309AC">
        <w:rPr>
          <w:rFonts w:ascii="仿宋_GB2312" w:eastAsia="仿宋_GB2312" w:hAnsi="Simsun" w:cs="宋体" w:hint="eastAsia"/>
          <w:color w:val="000000"/>
          <w:kern w:val="0"/>
          <w:sz w:val="32"/>
          <w:szCs w:val="32"/>
        </w:rPr>
        <w:t>风险池由市</w:t>
      </w:r>
      <w:proofErr w:type="gramEnd"/>
      <w:r w:rsidRPr="001309AC">
        <w:rPr>
          <w:rFonts w:ascii="仿宋_GB2312" w:eastAsia="仿宋_GB2312" w:hAnsi="Simsun" w:cs="宋体" w:hint="eastAsia"/>
          <w:color w:val="000000"/>
          <w:kern w:val="0"/>
          <w:sz w:val="32"/>
          <w:szCs w:val="32"/>
        </w:rPr>
        <w:t>财政专项资金、上级争取资金、其他资金组成。资金由市科技局、市财政局共同管理，负责风险</w:t>
      </w:r>
      <w:proofErr w:type="gramStart"/>
      <w:r w:rsidRPr="001309AC">
        <w:rPr>
          <w:rFonts w:ascii="仿宋_GB2312" w:eastAsia="仿宋_GB2312" w:hAnsi="Simsun" w:cs="宋体" w:hint="eastAsia"/>
          <w:color w:val="000000"/>
          <w:kern w:val="0"/>
          <w:sz w:val="32"/>
          <w:szCs w:val="32"/>
        </w:rPr>
        <w:t>池计划</w:t>
      </w:r>
      <w:proofErr w:type="gramEnd"/>
      <w:r w:rsidRPr="001309AC">
        <w:rPr>
          <w:rFonts w:ascii="仿宋_GB2312" w:eastAsia="仿宋_GB2312" w:hAnsi="Simsun" w:cs="宋体" w:hint="eastAsia"/>
          <w:color w:val="000000"/>
          <w:kern w:val="0"/>
          <w:sz w:val="32"/>
          <w:szCs w:val="32"/>
        </w:rPr>
        <w:t>审批和使用监督。</w:t>
      </w:r>
    </w:p>
    <w:p w:rsidR="001309AC" w:rsidRPr="001309AC" w:rsidRDefault="001309AC" w:rsidP="001309AC">
      <w:pPr>
        <w:widowControl/>
        <w:spacing w:line="600" w:lineRule="atLeast"/>
        <w:ind w:firstLine="64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第五条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在昆山设立分支机构的银行机构，可按照本细则的相关规定，向市科技局、市财政局申请成为合作银行，并与中心签订合作协议，报市科技局、财政局、人才办备案。中心定期对合作银行进行评估，对运作不良的银行机构采取退出机制（相关方案另行制定）。</w:t>
      </w:r>
    </w:p>
    <w:p w:rsidR="001309AC" w:rsidRPr="001309AC" w:rsidRDefault="001309AC" w:rsidP="001309AC">
      <w:pPr>
        <w:widowControl/>
        <w:spacing w:line="600" w:lineRule="atLeast"/>
        <w:ind w:firstLine="64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第六条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风险池</w:t>
      </w:r>
      <w:r w:rsidRPr="001309AC">
        <w:rPr>
          <w:rFonts w:ascii="Times New Roman" w:eastAsia="宋体" w:hAnsi="Times New Roman" w:cs="Times New Roman"/>
          <w:color w:val="000000"/>
          <w:kern w:val="0"/>
          <w:sz w:val="32"/>
          <w:szCs w:val="32"/>
        </w:rPr>
        <w:t>”</w:t>
      </w:r>
      <w:r w:rsidRPr="001309AC">
        <w:rPr>
          <w:rFonts w:ascii="仿宋_GB2312" w:eastAsia="仿宋_GB2312" w:hAnsi="Simsun" w:cs="宋体" w:hint="eastAsia"/>
          <w:color w:val="000000"/>
          <w:kern w:val="0"/>
          <w:sz w:val="32"/>
          <w:szCs w:val="32"/>
        </w:rPr>
        <w:t>资金性质为财政性资金，资金所有权归市财政局。风险</w:t>
      </w:r>
      <w:proofErr w:type="gramStart"/>
      <w:r w:rsidRPr="001309AC">
        <w:rPr>
          <w:rFonts w:ascii="仿宋_GB2312" w:eastAsia="仿宋_GB2312" w:hAnsi="Simsun" w:cs="宋体" w:hint="eastAsia"/>
          <w:color w:val="000000"/>
          <w:kern w:val="0"/>
          <w:sz w:val="32"/>
          <w:szCs w:val="32"/>
        </w:rPr>
        <w:t>池实行</w:t>
      </w:r>
      <w:proofErr w:type="gramEnd"/>
      <w:r w:rsidRPr="001309AC">
        <w:rPr>
          <w:rFonts w:ascii="仿宋_GB2312" w:eastAsia="仿宋_GB2312" w:hAnsi="Simsun" w:cs="宋体" w:hint="eastAsia"/>
          <w:color w:val="000000"/>
          <w:kern w:val="0"/>
          <w:sz w:val="32"/>
          <w:szCs w:val="32"/>
        </w:rPr>
        <w:t>双印章管理，在市科技局（生产力促进中心）原有印鉴的基础上加盖市财政局（主管科室）印章一枚。</w:t>
      </w:r>
    </w:p>
    <w:p w:rsidR="001309AC" w:rsidRPr="001309AC" w:rsidRDefault="001309AC" w:rsidP="001309AC">
      <w:pPr>
        <w:widowControl/>
        <w:spacing w:line="600" w:lineRule="atLeast"/>
        <w:ind w:firstLine="627"/>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第七条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市科技局、财政局向合作银行按协定方式及年度实际贷款平均余额占比存入风险池资金，按年调整。合作银行应按国家有关制度规定管理存入的风险池资金，原则上，在一个合作期间内，对于符合风险</w:t>
      </w:r>
      <w:proofErr w:type="gramStart"/>
      <w:r w:rsidRPr="001309AC">
        <w:rPr>
          <w:rFonts w:ascii="仿宋_GB2312" w:eastAsia="仿宋_GB2312" w:hAnsi="Simsun" w:cs="宋体" w:hint="eastAsia"/>
          <w:color w:val="000000"/>
          <w:kern w:val="0"/>
          <w:sz w:val="32"/>
          <w:szCs w:val="32"/>
        </w:rPr>
        <w:t>池支持</w:t>
      </w:r>
      <w:proofErr w:type="gramEnd"/>
      <w:r w:rsidRPr="001309AC">
        <w:rPr>
          <w:rFonts w:ascii="仿宋_GB2312" w:eastAsia="仿宋_GB2312" w:hAnsi="Simsun" w:cs="宋体" w:hint="eastAsia"/>
          <w:color w:val="000000"/>
          <w:kern w:val="0"/>
          <w:sz w:val="32"/>
          <w:szCs w:val="32"/>
        </w:rPr>
        <w:t>的企业合计提供不低于</w:t>
      </w:r>
      <w:r w:rsidRPr="001309AC">
        <w:rPr>
          <w:rFonts w:ascii="Times New Roman" w:eastAsia="宋体" w:hAnsi="Times New Roman" w:cs="Times New Roman"/>
          <w:color w:val="000000"/>
          <w:kern w:val="0"/>
          <w:sz w:val="32"/>
          <w:szCs w:val="32"/>
        </w:rPr>
        <w:t>10</w:t>
      </w:r>
      <w:r w:rsidRPr="001309AC">
        <w:rPr>
          <w:rFonts w:ascii="仿宋_GB2312" w:eastAsia="仿宋_GB2312" w:hAnsi="Simsun" w:cs="宋体" w:hint="eastAsia"/>
          <w:color w:val="000000"/>
          <w:kern w:val="0"/>
          <w:sz w:val="32"/>
          <w:szCs w:val="32"/>
        </w:rPr>
        <w:t>倍风险池数额的贷款授信额度。</w:t>
      </w:r>
    </w:p>
    <w:p w:rsidR="001309AC" w:rsidRPr="001309AC" w:rsidRDefault="001309AC" w:rsidP="001309AC">
      <w:pPr>
        <w:widowControl/>
        <w:spacing w:line="600" w:lineRule="atLeast"/>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lastRenderedPageBreak/>
        <w:t>第八条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风险</w:t>
      </w:r>
      <w:proofErr w:type="gramStart"/>
      <w:r w:rsidRPr="001309AC">
        <w:rPr>
          <w:rFonts w:ascii="仿宋_GB2312" w:eastAsia="仿宋_GB2312" w:hAnsi="Simsun" w:cs="宋体" w:hint="eastAsia"/>
          <w:color w:val="000000"/>
          <w:kern w:val="0"/>
          <w:sz w:val="32"/>
          <w:szCs w:val="32"/>
        </w:rPr>
        <w:t>池使用</w:t>
      </w:r>
      <w:proofErr w:type="gramEnd"/>
      <w:r w:rsidRPr="001309AC">
        <w:rPr>
          <w:rFonts w:ascii="仿宋_GB2312" w:eastAsia="仿宋_GB2312" w:hAnsi="Simsun" w:cs="宋体" w:hint="eastAsia"/>
          <w:color w:val="000000"/>
          <w:kern w:val="0"/>
          <w:sz w:val="32"/>
          <w:szCs w:val="32"/>
        </w:rPr>
        <w:t>遵循市场运作、风险共担的原则，信贷风险</w:t>
      </w:r>
      <w:proofErr w:type="gramStart"/>
      <w:r w:rsidRPr="001309AC">
        <w:rPr>
          <w:rFonts w:ascii="仿宋_GB2312" w:eastAsia="仿宋_GB2312" w:hAnsi="Simsun" w:cs="宋体" w:hint="eastAsia"/>
          <w:color w:val="000000"/>
          <w:kern w:val="0"/>
          <w:sz w:val="32"/>
          <w:szCs w:val="32"/>
        </w:rPr>
        <w:t>由风险池</w:t>
      </w:r>
      <w:proofErr w:type="gramEnd"/>
      <w:r w:rsidRPr="001309AC">
        <w:rPr>
          <w:rFonts w:ascii="仿宋_GB2312" w:eastAsia="仿宋_GB2312" w:hAnsi="Simsun" w:cs="宋体" w:hint="eastAsia"/>
          <w:color w:val="000000"/>
          <w:kern w:val="0"/>
          <w:sz w:val="32"/>
          <w:szCs w:val="32"/>
        </w:rPr>
        <w:t>、合作银行共同承担。</w:t>
      </w:r>
    </w:p>
    <w:p w:rsidR="001309AC" w:rsidRPr="001309AC" w:rsidRDefault="001309AC" w:rsidP="001309AC">
      <w:pPr>
        <w:widowControl/>
        <w:spacing w:line="600" w:lineRule="atLeast"/>
        <w:ind w:firstLine="627"/>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第九条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为进一步分散信贷风险，鼓励保证保险介入，在贷款还本付息后按贷款额的</w:t>
      </w:r>
      <w:r w:rsidRPr="001309AC">
        <w:rPr>
          <w:rFonts w:ascii="Times New Roman" w:eastAsia="宋体" w:hAnsi="Times New Roman" w:cs="Times New Roman"/>
          <w:color w:val="000000"/>
          <w:kern w:val="0"/>
          <w:sz w:val="32"/>
          <w:szCs w:val="32"/>
        </w:rPr>
        <w:t>1.5%</w:t>
      </w:r>
      <w:r w:rsidRPr="001309AC">
        <w:rPr>
          <w:rFonts w:ascii="仿宋_GB2312" w:eastAsia="仿宋_GB2312" w:hAnsi="Simsun" w:cs="宋体" w:hint="eastAsia"/>
          <w:color w:val="000000"/>
          <w:kern w:val="0"/>
          <w:sz w:val="32"/>
          <w:szCs w:val="32"/>
        </w:rPr>
        <w:t>给予保证保险保费补助，实现信贷风险由政府、保险公司和银行共同承担。承办的财产保险公司按照贷款保证保险保费费率为通过银行审批的科技、人才企业进行核保并发售保证保险。贷款逾期后，由保险公司按照贷款保险协议负责赔偿。</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第十条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贷款实行差别化的风险补偿机制，具体风险补偿补偿比例和限额根据企业规模、产品技术水平、团队研发能力、支持重点等因素由市科技局商财政局研究确定，并根据实际情况及时调整。目前按以下标准执行：</w:t>
      </w:r>
    </w:p>
    <w:tbl>
      <w:tblPr>
        <w:tblW w:w="5000" w:type="pct"/>
        <w:tblInd w:w="108" w:type="dxa"/>
        <w:tblCellMar>
          <w:left w:w="0" w:type="dxa"/>
          <w:right w:w="0" w:type="dxa"/>
        </w:tblCellMar>
        <w:tblLook w:val="04A0" w:firstRow="1" w:lastRow="0" w:firstColumn="1" w:lastColumn="0" w:noHBand="0" w:noVBand="1"/>
      </w:tblPr>
      <w:tblGrid>
        <w:gridCol w:w="1268"/>
        <w:gridCol w:w="2875"/>
        <w:gridCol w:w="1606"/>
        <w:gridCol w:w="2537"/>
      </w:tblGrid>
      <w:tr w:rsidR="001309AC" w:rsidRPr="001309AC" w:rsidTr="001309AC">
        <w:trPr>
          <w:trHeight w:val="560"/>
        </w:trPr>
        <w:tc>
          <w:tcPr>
            <w:tcW w:w="75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黑体" w:eastAsia="黑体" w:hAnsi="黑体" w:cs="宋体" w:hint="eastAsia"/>
                <w:kern w:val="0"/>
                <w:sz w:val="24"/>
                <w:szCs w:val="24"/>
              </w:rPr>
              <w:t>企业类型</w:t>
            </w:r>
          </w:p>
        </w:tc>
        <w:tc>
          <w:tcPr>
            <w:tcW w:w="170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黑体" w:eastAsia="黑体" w:hAnsi="黑体" w:cs="宋体" w:hint="eastAsia"/>
                <w:kern w:val="0"/>
                <w:sz w:val="24"/>
                <w:szCs w:val="24"/>
              </w:rPr>
              <w:t>上年度销售收入（万元）</w:t>
            </w:r>
          </w:p>
        </w:tc>
        <w:tc>
          <w:tcPr>
            <w:tcW w:w="9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黑体" w:eastAsia="黑体" w:hAnsi="黑体" w:cs="宋体" w:hint="eastAsia"/>
                <w:kern w:val="0"/>
                <w:sz w:val="24"/>
                <w:szCs w:val="24"/>
              </w:rPr>
              <w:t>风险补偿比例</w:t>
            </w:r>
          </w:p>
        </w:tc>
        <w:tc>
          <w:tcPr>
            <w:tcW w:w="150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黑体" w:eastAsia="黑体" w:hAnsi="黑体" w:cs="宋体" w:hint="eastAsia"/>
                <w:kern w:val="0"/>
                <w:sz w:val="24"/>
                <w:szCs w:val="24"/>
              </w:rPr>
              <w:t>风险补偿限额（万元）</w:t>
            </w:r>
          </w:p>
        </w:tc>
      </w:tr>
      <w:tr w:rsidR="001309AC" w:rsidRPr="001309AC" w:rsidTr="001309AC">
        <w:trPr>
          <w:trHeight w:val="560"/>
        </w:trPr>
        <w:tc>
          <w:tcPr>
            <w:tcW w:w="7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宋体" w:eastAsia="宋体" w:hAnsi="宋体" w:cs="宋体" w:hint="eastAsia"/>
                <w:kern w:val="0"/>
                <w:sz w:val="24"/>
                <w:szCs w:val="24"/>
              </w:rPr>
              <w:t>苗圃类</w:t>
            </w:r>
          </w:p>
        </w:tc>
        <w:tc>
          <w:tcPr>
            <w:tcW w:w="17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宋体" w:eastAsia="宋体" w:hAnsi="宋体" w:cs="宋体" w:hint="eastAsia"/>
                <w:kern w:val="0"/>
                <w:sz w:val="24"/>
                <w:szCs w:val="24"/>
              </w:rPr>
              <w:t>销售收入</w:t>
            </w:r>
            <w:r w:rsidRPr="001309AC">
              <w:rPr>
                <w:rFonts w:ascii="Times New Roman" w:eastAsia="宋体" w:hAnsi="Times New Roman" w:cs="Times New Roman"/>
                <w:kern w:val="0"/>
                <w:sz w:val="24"/>
                <w:szCs w:val="24"/>
              </w:rPr>
              <w:t>≤300</w:t>
            </w:r>
          </w:p>
        </w:tc>
        <w:tc>
          <w:tcPr>
            <w:tcW w:w="9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8"/>
                <w:szCs w:val="28"/>
              </w:rPr>
              <w:t>≤90%</w:t>
            </w:r>
          </w:p>
        </w:tc>
        <w:tc>
          <w:tcPr>
            <w:tcW w:w="15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8"/>
                <w:szCs w:val="28"/>
              </w:rPr>
              <w:t>≤50</w:t>
            </w:r>
          </w:p>
        </w:tc>
      </w:tr>
      <w:tr w:rsidR="001309AC" w:rsidRPr="001309AC" w:rsidTr="001309AC">
        <w:trPr>
          <w:trHeight w:val="560"/>
        </w:trPr>
        <w:tc>
          <w:tcPr>
            <w:tcW w:w="7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宋体" w:eastAsia="宋体" w:hAnsi="宋体" w:cs="宋体" w:hint="eastAsia"/>
                <w:kern w:val="0"/>
                <w:sz w:val="24"/>
                <w:szCs w:val="24"/>
              </w:rPr>
              <w:t>孵化类</w:t>
            </w:r>
          </w:p>
        </w:tc>
        <w:tc>
          <w:tcPr>
            <w:tcW w:w="17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4"/>
                <w:szCs w:val="24"/>
              </w:rPr>
              <w:t>300</w:t>
            </w:r>
            <w:r w:rsidRPr="001309AC">
              <w:rPr>
                <w:rFonts w:ascii="宋体" w:eastAsia="宋体" w:hAnsi="宋体" w:cs="宋体" w:hint="eastAsia"/>
                <w:kern w:val="0"/>
                <w:sz w:val="24"/>
                <w:szCs w:val="24"/>
              </w:rPr>
              <w:t>＜销售收入</w:t>
            </w:r>
            <w:r w:rsidRPr="001309AC">
              <w:rPr>
                <w:rFonts w:ascii="Times New Roman" w:eastAsia="宋体" w:hAnsi="Times New Roman" w:cs="Times New Roman"/>
                <w:kern w:val="0"/>
                <w:sz w:val="24"/>
                <w:szCs w:val="24"/>
              </w:rPr>
              <w:t>≤2000</w:t>
            </w:r>
          </w:p>
        </w:tc>
        <w:tc>
          <w:tcPr>
            <w:tcW w:w="9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8"/>
                <w:szCs w:val="28"/>
              </w:rPr>
              <w:t>≤70%</w:t>
            </w:r>
          </w:p>
        </w:tc>
        <w:tc>
          <w:tcPr>
            <w:tcW w:w="15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8"/>
                <w:szCs w:val="28"/>
              </w:rPr>
              <w:t>≤200</w:t>
            </w:r>
          </w:p>
        </w:tc>
      </w:tr>
      <w:tr w:rsidR="001309AC" w:rsidRPr="001309AC" w:rsidTr="001309AC">
        <w:trPr>
          <w:trHeight w:val="560"/>
        </w:trPr>
        <w:tc>
          <w:tcPr>
            <w:tcW w:w="7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宋体" w:eastAsia="宋体" w:hAnsi="宋体" w:cs="宋体" w:hint="eastAsia"/>
                <w:kern w:val="0"/>
                <w:sz w:val="24"/>
                <w:szCs w:val="24"/>
              </w:rPr>
              <w:t>加速类</w:t>
            </w:r>
          </w:p>
        </w:tc>
        <w:tc>
          <w:tcPr>
            <w:tcW w:w="17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4"/>
                <w:szCs w:val="24"/>
              </w:rPr>
              <w:t>2000</w:t>
            </w:r>
            <w:r w:rsidRPr="001309AC">
              <w:rPr>
                <w:rFonts w:ascii="宋体" w:eastAsia="宋体" w:hAnsi="宋体" w:cs="宋体" w:hint="eastAsia"/>
                <w:kern w:val="0"/>
                <w:sz w:val="24"/>
                <w:szCs w:val="24"/>
              </w:rPr>
              <w:t>＜销售收入</w:t>
            </w:r>
            <w:r w:rsidRPr="001309AC">
              <w:rPr>
                <w:rFonts w:ascii="Times New Roman" w:eastAsia="宋体" w:hAnsi="Times New Roman" w:cs="Times New Roman"/>
                <w:kern w:val="0"/>
                <w:sz w:val="24"/>
                <w:szCs w:val="24"/>
              </w:rPr>
              <w:t>≤5000</w:t>
            </w:r>
          </w:p>
        </w:tc>
        <w:tc>
          <w:tcPr>
            <w:tcW w:w="9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8"/>
                <w:szCs w:val="28"/>
              </w:rPr>
              <w:t>≤50%</w:t>
            </w:r>
          </w:p>
        </w:tc>
        <w:tc>
          <w:tcPr>
            <w:tcW w:w="15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8"/>
                <w:szCs w:val="28"/>
              </w:rPr>
              <w:t>≤500</w:t>
            </w:r>
          </w:p>
        </w:tc>
      </w:tr>
      <w:tr w:rsidR="001309AC" w:rsidRPr="001309AC" w:rsidTr="001309AC">
        <w:trPr>
          <w:trHeight w:val="560"/>
        </w:trPr>
        <w:tc>
          <w:tcPr>
            <w:tcW w:w="7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宋体" w:eastAsia="宋体" w:hAnsi="宋体" w:cs="宋体" w:hint="eastAsia"/>
                <w:kern w:val="0"/>
                <w:sz w:val="24"/>
                <w:szCs w:val="24"/>
              </w:rPr>
              <w:t>成长类</w:t>
            </w:r>
          </w:p>
        </w:tc>
        <w:tc>
          <w:tcPr>
            <w:tcW w:w="17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4"/>
                <w:szCs w:val="24"/>
              </w:rPr>
              <w:t>5000</w:t>
            </w:r>
            <w:r w:rsidRPr="001309AC">
              <w:rPr>
                <w:rFonts w:ascii="宋体" w:eastAsia="宋体" w:hAnsi="宋体" w:cs="宋体" w:hint="eastAsia"/>
                <w:kern w:val="0"/>
                <w:sz w:val="24"/>
                <w:szCs w:val="24"/>
              </w:rPr>
              <w:t>＜销售收入</w:t>
            </w:r>
            <w:r w:rsidRPr="001309AC">
              <w:rPr>
                <w:rFonts w:ascii="Times New Roman" w:eastAsia="宋体" w:hAnsi="Times New Roman" w:cs="Times New Roman"/>
                <w:kern w:val="0"/>
                <w:sz w:val="24"/>
                <w:szCs w:val="24"/>
              </w:rPr>
              <w:t>≤10000</w:t>
            </w:r>
          </w:p>
        </w:tc>
        <w:tc>
          <w:tcPr>
            <w:tcW w:w="9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8"/>
                <w:szCs w:val="28"/>
              </w:rPr>
              <w:t>≤30%</w:t>
            </w:r>
          </w:p>
        </w:tc>
        <w:tc>
          <w:tcPr>
            <w:tcW w:w="15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8"/>
                <w:szCs w:val="28"/>
              </w:rPr>
              <w:t>≤200</w:t>
            </w:r>
          </w:p>
        </w:tc>
      </w:tr>
      <w:tr w:rsidR="001309AC" w:rsidRPr="001309AC" w:rsidTr="001309AC">
        <w:trPr>
          <w:trHeight w:val="560"/>
        </w:trPr>
        <w:tc>
          <w:tcPr>
            <w:tcW w:w="7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宋体" w:eastAsia="宋体" w:hAnsi="宋体" w:cs="宋体" w:hint="eastAsia"/>
                <w:kern w:val="0"/>
                <w:sz w:val="24"/>
                <w:szCs w:val="24"/>
              </w:rPr>
              <w:t>发展类</w:t>
            </w:r>
          </w:p>
        </w:tc>
        <w:tc>
          <w:tcPr>
            <w:tcW w:w="17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4"/>
                <w:szCs w:val="24"/>
              </w:rPr>
              <w:t>10000</w:t>
            </w:r>
            <w:r w:rsidRPr="001309AC">
              <w:rPr>
                <w:rFonts w:ascii="宋体" w:eastAsia="宋体" w:hAnsi="宋体" w:cs="宋体" w:hint="eastAsia"/>
                <w:kern w:val="0"/>
                <w:sz w:val="24"/>
                <w:szCs w:val="24"/>
              </w:rPr>
              <w:t>＜销售收入</w:t>
            </w:r>
            <w:r w:rsidRPr="001309AC">
              <w:rPr>
                <w:rFonts w:ascii="Times New Roman" w:eastAsia="宋体" w:hAnsi="Times New Roman" w:cs="Times New Roman"/>
                <w:kern w:val="0"/>
                <w:sz w:val="24"/>
                <w:szCs w:val="24"/>
              </w:rPr>
              <w:t>≤40000</w:t>
            </w:r>
          </w:p>
        </w:tc>
        <w:tc>
          <w:tcPr>
            <w:tcW w:w="9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8"/>
                <w:szCs w:val="28"/>
              </w:rPr>
              <w:t>≤10%</w:t>
            </w:r>
          </w:p>
        </w:tc>
        <w:tc>
          <w:tcPr>
            <w:tcW w:w="15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309AC" w:rsidRPr="001309AC" w:rsidRDefault="001309AC" w:rsidP="001309AC">
            <w:pPr>
              <w:widowControl/>
              <w:spacing w:before="60" w:after="60" w:line="560" w:lineRule="atLeast"/>
              <w:jc w:val="center"/>
              <w:rPr>
                <w:rFonts w:ascii="宋体" w:eastAsia="宋体" w:hAnsi="宋体" w:cs="宋体"/>
                <w:kern w:val="0"/>
                <w:sz w:val="24"/>
                <w:szCs w:val="24"/>
              </w:rPr>
            </w:pPr>
            <w:r w:rsidRPr="001309AC">
              <w:rPr>
                <w:rFonts w:ascii="Times New Roman" w:eastAsia="宋体" w:hAnsi="Times New Roman" w:cs="Times New Roman"/>
                <w:kern w:val="0"/>
                <w:sz w:val="28"/>
                <w:szCs w:val="28"/>
              </w:rPr>
              <w:t>≤100</w:t>
            </w:r>
          </w:p>
        </w:tc>
      </w:tr>
    </w:tbl>
    <w:p w:rsidR="001309AC" w:rsidRPr="001309AC" w:rsidRDefault="001309AC" w:rsidP="001309AC">
      <w:pPr>
        <w:widowControl/>
        <w:spacing w:line="600" w:lineRule="atLeast"/>
        <w:ind w:firstLine="627"/>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第十一条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申请贷款企业应通过昆山市科技金融服务平台提交申请，报送企业相关信息，由市科技局负责审核并</w:t>
      </w:r>
      <w:r w:rsidRPr="001309AC">
        <w:rPr>
          <w:rFonts w:ascii="仿宋_GB2312" w:eastAsia="仿宋_GB2312" w:hAnsi="Simsun" w:cs="宋体" w:hint="eastAsia"/>
          <w:color w:val="000000"/>
          <w:kern w:val="0"/>
          <w:sz w:val="32"/>
          <w:szCs w:val="32"/>
        </w:rPr>
        <w:lastRenderedPageBreak/>
        <w:t>向合作银行</w:t>
      </w:r>
      <w:proofErr w:type="gramStart"/>
      <w:r w:rsidRPr="001309AC">
        <w:rPr>
          <w:rFonts w:ascii="仿宋_GB2312" w:eastAsia="仿宋_GB2312" w:hAnsi="Simsun" w:cs="宋体" w:hint="eastAsia"/>
          <w:color w:val="000000"/>
          <w:kern w:val="0"/>
          <w:sz w:val="32"/>
          <w:szCs w:val="32"/>
        </w:rPr>
        <w:t>作出</w:t>
      </w:r>
      <w:proofErr w:type="gramEnd"/>
      <w:r w:rsidRPr="001309AC">
        <w:rPr>
          <w:rFonts w:ascii="仿宋_GB2312" w:eastAsia="仿宋_GB2312" w:hAnsi="Simsun" w:cs="宋体" w:hint="eastAsia"/>
          <w:color w:val="000000"/>
          <w:kern w:val="0"/>
          <w:sz w:val="32"/>
          <w:szCs w:val="32"/>
        </w:rPr>
        <w:t>推荐。企业及实际控制人（法定代表人或主要管理者）的信用情况是贷款立项的重要依据。苗圃类和孵化类企业的实际控制人（法定代表人或主要管理者）必须为该笔贷款承担个人连带保证责任。</w:t>
      </w:r>
    </w:p>
    <w:p w:rsidR="001309AC" w:rsidRPr="001309AC" w:rsidRDefault="001309AC" w:rsidP="001309AC">
      <w:pPr>
        <w:widowControl/>
        <w:spacing w:line="600" w:lineRule="atLeast"/>
        <w:ind w:firstLine="627"/>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第十二条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合作银行根据本细则第十条、第十一条以及银行贷款的相关规定，自主决定贷款的发放。贷款利率实行市场化，合作银行不得向企业另行收取不合理费用。贷款发放后，合作银行按月向中心进行备案。备案材料包括：贷款备案情况汇总表、银行信贷方案（放贷通知书）、贷款合同等。备案记录作为风险补偿的必要条件，否则风险补偿资金将不承担补偿责任。合作银行应按季度向中心提交贷款执行、监管情况报告，并作为市科技局、市财政局对合作银行绩效考核的主要依据。</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第十三条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中心、合作银行应加强定期信息交流。若发生下列情形之一的，合作银行应于</w:t>
      </w:r>
      <w:r w:rsidRPr="001309AC">
        <w:rPr>
          <w:rFonts w:ascii="Times New Roman" w:eastAsia="宋体" w:hAnsi="Times New Roman" w:cs="Times New Roman"/>
          <w:color w:val="000000"/>
          <w:kern w:val="0"/>
          <w:sz w:val="32"/>
          <w:szCs w:val="32"/>
        </w:rPr>
        <w:t>3</w:t>
      </w:r>
      <w:r w:rsidRPr="001309AC">
        <w:rPr>
          <w:rFonts w:ascii="仿宋_GB2312" w:eastAsia="仿宋_GB2312" w:hAnsi="Simsun" w:cs="宋体" w:hint="eastAsia"/>
          <w:color w:val="000000"/>
          <w:kern w:val="0"/>
          <w:sz w:val="32"/>
          <w:szCs w:val="32"/>
        </w:rPr>
        <w:t>个工作日内书面通知中心，并将调查情况上报市科技局、市财政局。</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Times New Roman" w:eastAsia="宋体" w:hAnsi="Times New Roman" w:cs="Times New Roman"/>
          <w:color w:val="000000"/>
          <w:kern w:val="0"/>
          <w:sz w:val="32"/>
          <w:szCs w:val="32"/>
        </w:rPr>
        <w:t>1.</w:t>
      </w:r>
      <w:r w:rsidRPr="001309AC">
        <w:rPr>
          <w:rFonts w:ascii="仿宋_GB2312" w:eastAsia="仿宋_GB2312" w:hAnsi="Simsun" w:cs="宋体" w:hint="eastAsia"/>
          <w:color w:val="000000"/>
          <w:kern w:val="0"/>
          <w:sz w:val="32"/>
          <w:szCs w:val="32"/>
        </w:rPr>
        <w:t>企业不按期支付贷款利息；</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Times New Roman" w:eastAsia="宋体" w:hAnsi="Times New Roman" w:cs="Times New Roman"/>
          <w:color w:val="000000"/>
          <w:kern w:val="0"/>
          <w:sz w:val="32"/>
          <w:szCs w:val="32"/>
        </w:rPr>
        <w:t>2.</w:t>
      </w:r>
      <w:r w:rsidRPr="001309AC">
        <w:rPr>
          <w:rFonts w:ascii="仿宋_GB2312" w:eastAsia="仿宋_GB2312" w:hAnsi="Simsun" w:cs="宋体" w:hint="eastAsia"/>
          <w:color w:val="000000"/>
          <w:kern w:val="0"/>
          <w:sz w:val="32"/>
          <w:szCs w:val="32"/>
        </w:rPr>
        <w:t>企业贷款出现逾期；</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Times New Roman" w:eastAsia="宋体" w:hAnsi="Times New Roman" w:cs="Times New Roman"/>
          <w:color w:val="000000"/>
          <w:kern w:val="0"/>
          <w:sz w:val="32"/>
          <w:szCs w:val="32"/>
        </w:rPr>
        <w:t>3.</w:t>
      </w:r>
      <w:r w:rsidRPr="001309AC">
        <w:rPr>
          <w:rFonts w:ascii="仿宋_GB2312" w:eastAsia="仿宋_GB2312" w:hAnsi="Simsun" w:cs="宋体" w:hint="eastAsia"/>
          <w:color w:val="000000"/>
          <w:kern w:val="0"/>
          <w:sz w:val="32"/>
          <w:szCs w:val="32"/>
        </w:rPr>
        <w:t>银行认为企业不能正常还贷；</w:t>
      </w:r>
    </w:p>
    <w:p w:rsidR="001309AC" w:rsidRPr="001309AC" w:rsidRDefault="001309AC" w:rsidP="001309AC">
      <w:pPr>
        <w:widowControl/>
        <w:spacing w:line="600" w:lineRule="atLeast"/>
        <w:ind w:firstLine="627"/>
        <w:jc w:val="left"/>
        <w:rPr>
          <w:rFonts w:ascii="Simsun" w:eastAsia="宋体" w:hAnsi="Simsun" w:cs="宋体"/>
          <w:color w:val="000000"/>
          <w:kern w:val="0"/>
          <w:sz w:val="27"/>
          <w:szCs w:val="27"/>
        </w:rPr>
      </w:pPr>
      <w:r w:rsidRPr="001309AC">
        <w:rPr>
          <w:rFonts w:ascii="Times New Roman" w:eastAsia="宋体" w:hAnsi="Times New Roman" w:cs="Times New Roman"/>
          <w:color w:val="000000"/>
          <w:kern w:val="0"/>
          <w:sz w:val="32"/>
          <w:szCs w:val="32"/>
        </w:rPr>
        <w:t>4.</w:t>
      </w:r>
      <w:r w:rsidRPr="001309AC">
        <w:rPr>
          <w:rFonts w:ascii="仿宋_GB2312" w:eastAsia="仿宋_GB2312" w:hAnsi="Simsun" w:cs="宋体" w:hint="eastAsia"/>
          <w:color w:val="000000"/>
          <w:kern w:val="0"/>
          <w:sz w:val="32"/>
          <w:szCs w:val="32"/>
        </w:rPr>
        <w:t>银行认为需要通知的其他重要事项。</w:t>
      </w:r>
    </w:p>
    <w:p w:rsidR="001309AC" w:rsidRPr="001309AC" w:rsidRDefault="001309AC" w:rsidP="001309AC">
      <w:pPr>
        <w:widowControl/>
        <w:spacing w:line="600" w:lineRule="atLeast"/>
        <w:ind w:firstLine="627"/>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第十四条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贷款损失实行风险共担机制。按照本细则第十条规定，风险补偿资金按发展类、成长类、加速类、孵</w:t>
      </w:r>
      <w:r w:rsidRPr="001309AC">
        <w:rPr>
          <w:rFonts w:ascii="仿宋_GB2312" w:eastAsia="仿宋_GB2312" w:hAnsi="Simsun" w:cs="宋体" w:hint="eastAsia"/>
          <w:color w:val="000000"/>
          <w:kern w:val="0"/>
          <w:sz w:val="32"/>
          <w:szCs w:val="32"/>
        </w:rPr>
        <w:lastRenderedPageBreak/>
        <w:t>化类、苗圃类分别承担</w:t>
      </w:r>
      <w:r w:rsidRPr="001309AC">
        <w:rPr>
          <w:rFonts w:ascii="Times New Roman" w:eastAsia="宋体" w:hAnsi="Times New Roman" w:cs="Times New Roman"/>
          <w:color w:val="000000"/>
          <w:kern w:val="0"/>
          <w:sz w:val="32"/>
          <w:szCs w:val="32"/>
        </w:rPr>
        <w:t>10%</w:t>
      </w:r>
      <w:r w:rsidRPr="001309AC">
        <w:rPr>
          <w:rFonts w:ascii="仿宋_GB2312" w:eastAsia="仿宋_GB2312" w:hAnsi="Simsun" w:cs="宋体" w:hint="eastAsia"/>
          <w:color w:val="000000"/>
          <w:kern w:val="0"/>
          <w:sz w:val="32"/>
          <w:szCs w:val="32"/>
        </w:rPr>
        <w:t>、</w:t>
      </w:r>
      <w:r w:rsidRPr="001309AC">
        <w:rPr>
          <w:rFonts w:ascii="Times New Roman" w:eastAsia="宋体" w:hAnsi="Times New Roman" w:cs="Times New Roman"/>
          <w:color w:val="000000"/>
          <w:kern w:val="0"/>
          <w:sz w:val="32"/>
          <w:szCs w:val="32"/>
        </w:rPr>
        <w:t>30%</w:t>
      </w:r>
      <w:r w:rsidRPr="001309AC">
        <w:rPr>
          <w:rFonts w:ascii="仿宋_GB2312" w:eastAsia="仿宋_GB2312" w:hAnsi="Simsun" w:cs="宋体" w:hint="eastAsia"/>
          <w:color w:val="000000"/>
          <w:kern w:val="0"/>
          <w:sz w:val="32"/>
          <w:szCs w:val="32"/>
        </w:rPr>
        <w:t>、</w:t>
      </w:r>
      <w:r w:rsidRPr="001309AC">
        <w:rPr>
          <w:rFonts w:ascii="Times New Roman" w:eastAsia="宋体" w:hAnsi="Times New Roman" w:cs="Times New Roman"/>
          <w:color w:val="000000"/>
          <w:kern w:val="0"/>
          <w:sz w:val="32"/>
          <w:szCs w:val="32"/>
        </w:rPr>
        <w:t>50%</w:t>
      </w:r>
      <w:r w:rsidRPr="001309AC">
        <w:rPr>
          <w:rFonts w:ascii="仿宋_GB2312" w:eastAsia="仿宋_GB2312" w:hAnsi="Simsun" w:cs="宋体" w:hint="eastAsia"/>
          <w:color w:val="000000"/>
          <w:kern w:val="0"/>
          <w:sz w:val="32"/>
          <w:szCs w:val="32"/>
        </w:rPr>
        <w:t>、</w:t>
      </w:r>
      <w:r w:rsidRPr="001309AC">
        <w:rPr>
          <w:rFonts w:ascii="Times New Roman" w:eastAsia="宋体" w:hAnsi="Times New Roman" w:cs="Times New Roman"/>
          <w:color w:val="000000"/>
          <w:kern w:val="0"/>
          <w:sz w:val="32"/>
          <w:szCs w:val="32"/>
        </w:rPr>
        <w:t>70%</w:t>
      </w:r>
      <w:r w:rsidRPr="001309AC">
        <w:rPr>
          <w:rFonts w:ascii="仿宋_GB2312" w:eastAsia="仿宋_GB2312" w:hAnsi="Simsun" w:cs="宋体" w:hint="eastAsia"/>
          <w:color w:val="000000"/>
          <w:kern w:val="0"/>
          <w:sz w:val="32"/>
          <w:szCs w:val="32"/>
        </w:rPr>
        <w:t>、</w:t>
      </w:r>
      <w:r w:rsidRPr="001309AC">
        <w:rPr>
          <w:rFonts w:ascii="Times New Roman" w:eastAsia="宋体" w:hAnsi="Times New Roman" w:cs="Times New Roman"/>
          <w:color w:val="000000"/>
          <w:kern w:val="0"/>
          <w:sz w:val="32"/>
          <w:szCs w:val="32"/>
        </w:rPr>
        <w:t>90%</w:t>
      </w:r>
      <w:r w:rsidRPr="001309AC">
        <w:rPr>
          <w:rFonts w:ascii="仿宋_GB2312" w:eastAsia="仿宋_GB2312" w:hAnsi="Simsun" w:cs="宋体" w:hint="eastAsia"/>
          <w:color w:val="000000"/>
          <w:kern w:val="0"/>
          <w:sz w:val="32"/>
          <w:szCs w:val="32"/>
        </w:rPr>
        <w:t>的贷款本金实际损失；贷款利息损失由合作银行全额承担；企业及法定代表人承担相应法律责任。</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仿宋_GB2312" w:eastAsia="仿宋_GB2312" w:hAnsi="Simsun" w:cs="宋体" w:hint="eastAsia"/>
          <w:color w:val="000000"/>
          <w:kern w:val="0"/>
          <w:sz w:val="32"/>
          <w:szCs w:val="32"/>
        </w:rPr>
        <w:t>贷款本金实际损失＝经批准的贷款本金－担保资产（包括但不限于履约保险、抵押、质押等资产）－已还贷款部分本金－保险赔偿款</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第十五条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企业贷款发生逾期，合作银行应及时书面通知中心。合作银行负责按照合同及相关法规进行追偿，追偿费用由合作银行承担。</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第十六条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发生逾期的不良贷款核销后，合作银行可向市科技局、市财政局申请贷款损失补偿清算。中心根据合作银行贷款备案材料、贷款损失补偿申请材料，组织专家进行评审，按照本方案第十四条，认定风险补偿资金承担的风险责任。经市科技局、市财政局同意后，由中心会同合作银行具体办理划转手续。</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第十七条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当单个合作银行年度贷款逾期贷款率超过</w:t>
      </w:r>
      <w:r w:rsidRPr="001309AC">
        <w:rPr>
          <w:rFonts w:ascii="Times New Roman" w:eastAsia="宋体" w:hAnsi="Times New Roman" w:cs="Times New Roman"/>
          <w:color w:val="000000"/>
          <w:kern w:val="0"/>
          <w:sz w:val="32"/>
          <w:szCs w:val="32"/>
        </w:rPr>
        <w:t>10%</w:t>
      </w:r>
      <w:r w:rsidRPr="001309AC">
        <w:rPr>
          <w:rFonts w:ascii="仿宋_GB2312" w:eastAsia="仿宋_GB2312" w:hAnsi="Simsun" w:cs="宋体" w:hint="eastAsia"/>
          <w:color w:val="000000"/>
          <w:kern w:val="0"/>
          <w:sz w:val="32"/>
          <w:szCs w:val="32"/>
        </w:rPr>
        <w:t>时，应立即中止该合作银行项下贷款业务。贷款整体逾期贷款率超过</w:t>
      </w:r>
      <w:r w:rsidRPr="001309AC">
        <w:rPr>
          <w:rFonts w:ascii="Times New Roman" w:eastAsia="宋体" w:hAnsi="Times New Roman" w:cs="Times New Roman"/>
          <w:color w:val="000000"/>
          <w:kern w:val="0"/>
          <w:sz w:val="32"/>
          <w:szCs w:val="32"/>
        </w:rPr>
        <w:t>10%</w:t>
      </w:r>
      <w:r w:rsidRPr="001309AC">
        <w:rPr>
          <w:rFonts w:ascii="仿宋_GB2312" w:eastAsia="仿宋_GB2312" w:hAnsi="Simsun" w:cs="宋体" w:hint="eastAsia"/>
          <w:color w:val="000000"/>
          <w:kern w:val="0"/>
          <w:sz w:val="32"/>
          <w:szCs w:val="32"/>
        </w:rPr>
        <w:t>时，应立即中止全部合作银行项下贷款业务。合作银行应加强自查整改，中心进行核查，完善后报市科技局、市财政局同意后再行恢复。</w:t>
      </w:r>
    </w:p>
    <w:p w:rsidR="001309AC" w:rsidRPr="001309AC" w:rsidRDefault="001309AC" w:rsidP="001309AC">
      <w:pPr>
        <w:widowControl/>
        <w:spacing w:line="600" w:lineRule="atLeast"/>
        <w:ind w:firstLine="64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第十八条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当单个合作银行年度贷款实际发生的风险补偿额（风险补偿资金承担的贷款本金实际损失，下同）超</w:t>
      </w:r>
      <w:r w:rsidRPr="001309AC">
        <w:rPr>
          <w:rFonts w:ascii="仿宋_GB2312" w:eastAsia="仿宋_GB2312" w:hAnsi="Simsun" w:cs="宋体" w:hint="eastAsia"/>
          <w:color w:val="000000"/>
          <w:kern w:val="0"/>
          <w:sz w:val="32"/>
          <w:szCs w:val="32"/>
        </w:rPr>
        <w:lastRenderedPageBreak/>
        <w:t>过当年度该合作银行实际风险补偿合计限额的</w:t>
      </w:r>
      <w:r w:rsidRPr="001309AC">
        <w:rPr>
          <w:rFonts w:ascii="Times New Roman" w:eastAsia="宋体" w:hAnsi="Times New Roman" w:cs="Times New Roman"/>
          <w:color w:val="000000"/>
          <w:kern w:val="0"/>
          <w:sz w:val="32"/>
          <w:szCs w:val="32"/>
        </w:rPr>
        <w:t>20%</w:t>
      </w:r>
      <w:r w:rsidRPr="001309AC">
        <w:rPr>
          <w:rFonts w:ascii="仿宋_GB2312" w:eastAsia="仿宋_GB2312" w:hAnsi="Simsun" w:cs="宋体" w:hint="eastAsia"/>
          <w:color w:val="000000"/>
          <w:kern w:val="0"/>
          <w:sz w:val="32"/>
          <w:szCs w:val="32"/>
        </w:rPr>
        <w:t>时，应立即中止该合作银行项下贷款业务。年度贷款整体实际发生的风险补偿额超过当年度实际风险补偿合计限额的</w:t>
      </w:r>
      <w:r w:rsidRPr="001309AC">
        <w:rPr>
          <w:rFonts w:ascii="Times New Roman" w:eastAsia="宋体" w:hAnsi="Times New Roman" w:cs="Times New Roman"/>
          <w:color w:val="000000"/>
          <w:kern w:val="0"/>
          <w:sz w:val="32"/>
          <w:szCs w:val="32"/>
        </w:rPr>
        <w:t>5%</w:t>
      </w:r>
      <w:r w:rsidRPr="001309AC">
        <w:rPr>
          <w:rFonts w:ascii="仿宋_GB2312" w:eastAsia="仿宋_GB2312" w:hAnsi="Simsun" w:cs="宋体" w:hint="eastAsia"/>
          <w:color w:val="000000"/>
          <w:kern w:val="0"/>
          <w:sz w:val="32"/>
          <w:szCs w:val="32"/>
        </w:rPr>
        <w:t>时，应立即中止全部合作银行项下贷款业务。合作银行应加强自查整改，中心进行核查，完善后报市科技局、市财政局同意后再行恢复。</w:t>
      </w:r>
    </w:p>
    <w:p w:rsidR="001309AC" w:rsidRPr="001309AC" w:rsidRDefault="001309AC" w:rsidP="001309AC">
      <w:pPr>
        <w:widowControl/>
        <w:spacing w:line="600" w:lineRule="atLeast"/>
        <w:ind w:firstLine="64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第十九条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合作银行应加强对账销案</w:t>
      </w:r>
      <w:proofErr w:type="gramStart"/>
      <w:r w:rsidRPr="001309AC">
        <w:rPr>
          <w:rFonts w:ascii="仿宋_GB2312" w:eastAsia="仿宋_GB2312" w:hAnsi="Simsun" w:cs="宋体" w:hint="eastAsia"/>
          <w:color w:val="000000"/>
          <w:kern w:val="0"/>
          <w:sz w:val="32"/>
          <w:szCs w:val="32"/>
        </w:rPr>
        <w:t>存资产</w:t>
      </w:r>
      <w:proofErr w:type="gramEnd"/>
      <w:r w:rsidRPr="001309AC">
        <w:rPr>
          <w:rFonts w:ascii="仿宋_GB2312" w:eastAsia="仿宋_GB2312" w:hAnsi="Simsun" w:cs="宋体" w:hint="eastAsia"/>
          <w:color w:val="000000"/>
          <w:kern w:val="0"/>
          <w:sz w:val="32"/>
          <w:szCs w:val="32"/>
        </w:rPr>
        <w:t>的管理和追索工作，未经市科技局、市财政局同意，合作银行不得擅自放弃对不良贷款的追偿。对事后收回的贷款，应根据本细则第十条按比例进行分配，风险补偿资金收回部分应在</w:t>
      </w:r>
      <w:r w:rsidRPr="001309AC">
        <w:rPr>
          <w:rFonts w:ascii="Times New Roman" w:eastAsia="宋体" w:hAnsi="Times New Roman" w:cs="Times New Roman"/>
          <w:color w:val="000000"/>
          <w:kern w:val="0"/>
          <w:sz w:val="32"/>
          <w:szCs w:val="32"/>
        </w:rPr>
        <w:t>3</w:t>
      </w:r>
      <w:r w:rsidRPr="001309AC">
        <w:rPr>
          <w:rFonts w:ascii="仿宋_GB2312" w:eastAsia="仿宋_GB2312" w:hAnsi="Simsun" w:cs="宋体" w:hint="eastAsia"/>
          <w:color w:val="000000"/>
          <w:kern w:val="0"/>
          <w:sz w:val="32"/>
          <w:szCs w:val="32"/>
        </w:rPr>
        <w:t>个工作日内缴入专户。</w:t>
      </w:r>
    </w:p>
    <w:p w:rsidR="001309AC" w:rsidRPr="001309AC" w:rsidRDefault="001309AC" w:rsidP="001309AC">
      <w:pPr>
        <w:widowControl/>
        <w:spacing w:line="600" w:lineRule="atLeast"/>
        <w:ind w:firstLine="64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第二十条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发生代偿的项目承担单位</w:t>
      </w:r>
      <w:r w:rsidRPr="001309AC">
        <w:rPr>
          <w:rFonts w:ascii="Times New Roman" w:eastAsia="宋体" w:hAnsi="Times New Roman" w:cs="Times New Roman"/>
          <w:color w:val="000000"/>
          <w:kern w:val="0"/>
          <w:sz w:val="32"/>
          <w:szCs w:val="32"/>
        </w:rPr>
        <w:t>3</w:t>
      </w:r>
      <w:r w:rsidRPr="001309AC">
        <w:rPr>
          <w:rFonts w:ascii="仿宋_GB2312" w:eastAsia="仿宋_GB2312" w:hAnsi="Simsun" w:cs="宋体" w:hint="eastAsia"/>
          <w:color w:val="000000"/>
          <w:kern w:val="0"/>
          <w:sz w:val="32"/>
          <w:szCs w:val="32"/>
        </w:rPr>
        <w:t>年内不能申报各级各类科技和人才计划项目，恶意到期不还款的单位，取消申报各级各类政府计划项目的资格。合作银行根据有关规定记录其企业和企业法定代表人或主要管理者个人的不良信用并按合同通过法律程序追偿其欠款。</w:t>
      </w:r>
    </w:p>
    <w:p w:rsidR="001309AC" w:rsidRPr="001309AC" w:rsidRDefault="001309AC" w:rsidP="001309AC">
      <w:pPr>
        <w:widowControl/>
        <w:spacing w:line="600" w:lineRule="atLeast"/>
        <w:ind w:firstLine="64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第二十一条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优先支持获得风险</w:t>
      </w:r>
      <w:proofErr w:type="gramStart"/>
      <w:r w:rsidRPr="001309AC">
        <w:rPr>
          <w:rFonts w:ascii="仿宋_GB2312" w:eastAsia="仿宋_GB2312" w:hAnsi="Simsun" w:cs="宋体" w:hint="eastAsia"/>
          <w:color w:val="000000"/>
          <w:kern w:val="0"/>
          <w:sz w:val="32"/>
          <w:szCs w:val="32"/>
        </w:rPr>
        <w:t>池支持</w:t>
      </w:r>
      <w:proofErr w:type="gramEnd"/>
      <w:r w:rsidRPr="001309AC">
        <w:rPr>
          <w:rFonts w:ascii="仿宋_GB2312" w:eastAsia="仿宋_GB2312" w:hAnsi="Simsun" w:cs="宋体" w:hint="eastAsia"/>
          <w:color w:val="000000"/>
          <w:kern w:val="0"/>
          <w:sz w:val="32"/>
          <w:szCs w:val="32"/>
        </w:rPr>
        <w:t>的企业承担市级科技项目以及参加由市财政资助的辅导培训、仪器共享等公共服务。</w:t>
      </w:r>
    </w:p>
    <w:p w:rsidR="001309AC" w:rsidRPr="001309AC" w:rsidRDefault="001309AC" w:rsidP="001309AC">
      <w:pPr>
        <w:widowControl/>
        <w:spacing w:line="600" w:lineRule="atLeast"/>
        <w:ind w:firstLine="627"/>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第二十二条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风险补偿资金产生的利息纳入风险补偿资金管理。</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t>第二十三条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本细则由市科技局、财政局负责解释。</w:t>
      </w:r>
    </w:p>
    <w:p w:rsidR="001309AC" w:rsidRPr="001309AC" w:rsidRDefault="001309AC" w:rsidP="001309AC">
      <w:pPr>
        <w:widowControl/>
        <w:spacing w:line="600" w:lineRule="atLeast"/>
        <w:ind w:firstLine="630"/>
        <w:jc w:val="left"/>
        <w:rPr>
          <w:rFonts w:ascii="Simsun" w:eastAsia="宋体" w:hAnsi="Simsun" w:cs="宋体"/>
          <w:color w:val="000000"/>
          <w:kern w:val="0"/>
          <w:sz w:val="27"/>
          <w:szCs w:val="27"/>
        </w:rPr>
      </w:pPr>
      <w:r w:rsidRPr="001309AC">
        <w:rPr>
          <w:rFonts w:ascii="黑体" w:eastAsia="黑体" w:hAnsi="黑体" w:cs="宋体" w:hint="eastAsia"/>
          <w:color w:val="000000"/>
          <w:kern w:val="0"/>
          <w:sz w:val="32"/>
          <w:szCs w:val="32"/>
        </w:rPr>
        <w:lastRenderedPageBreak/>
        <w:t>第二十四条</w:t>
      </w:r>
      <w:r w:rsidRPr="001309AC">
        <w:rPr>
          <w:rFonts w:ascii="Times New Roman" w:eastAsia="宋体" w:hAnsi="Times New Roman" w:cs="Times New Roman"/>
          <w:color w:val="000000"/>
          <w:kern w:val="0"/>
          <w:sz w:val="32"/>
          <w:szCs w:val="32"/>
        </w:rPr>
        <w:t> </w:t>
      </w:r>
      <w:r w:rsidRPr="001309AC">
        <w:rPr>
          <w:rFonts w:ascii="仿宋_GB2312" w:eastAsia="仿宋_GB2312" w:hAnsi="Simsun" w:cs="宋体" w:hint="eastAsia"/>
          <w:color w:val="000000"/>
          <w:kern w:val="0"/>
          <w:sz w:val="32"/>
          <w:szCs w:val="32"/>
        </w:rPr>
        <w:t>本细则自</w:t>
      </w:r>
      <w:r w:rsidRPr="001309AC">
        <w:rPr>
          <w:rFonts w:ascii="Times New Roman" w:eastAsia="宋体" w:hAnsi="Times New Roman" w:cs="Times New Roman"/>
          <w:color w:val="000000"/>
          <w:kern w:val="0"/>
          <w:sz w:val="32"/>
          <w:szCs w:val="32"/>
        </w:rPr>
        <w:t>2015</w:t>
      </w:r>
      <w:r w:rsidRPr="001309AC">
        <w:rPr>
          <w:rFonts w:ascii="仿宋_GB2312" w:eastAsia="仿宋_GB2312" w:hAnsi="Simsun" w:cs="宋体" w:hint="eastAsia"/>
          <w:color w:val="000000"/>
          <w:kern w:val="0"/>
          <w:sz w:val="32"/>
          <w:szCs w:val="32"/>
        </w:rPr>
        <w:t>年</w:t>
      </w:r>
      <w:r w:rsidRPr="001309AC">
        <w:rPr>
          <w:rFonts w:ascii="Times New Roman" w:eastAsia="宋体" w:hAnsi="Times New Roman" w:cs="Times New Roman"/>
          <w:color w:val="000000"/>
          <w:kern w:val="0"/>
          <w:sz w:val="32"/>
          <w:szCs w:val="32"/>
        </w:rPr>
        <w:t>1</w:t>
      </w:r>
      <w:r w:rsidRPr="001309AC">
        <w:rPr>
          <w:rFonts w:ascii="仿宋_GB2312" w:eastAsia="仿宋_GB2312" w:hAnsi="Simsun" w:cs="宋体" w:hint="eastAsia"/>
          <w:color w:val="000000"/>
          <w:kern w:val="0"/>
          <w:sz w:val="32"/>
          <w:szCs w:val="32"/>
        </w:rPr>
        <w:t>月</w:t>
      </w:r>
      <w:r w:rsidRPr="001309AC">
        <w:rPr>
          <w:rFonts w:ascii="Times New Roman" w:eastAsia="宋体" w:hAnsi="Times New Roman" w:cs="Times New Roman"/>
          <w:color w:val="000000"/>
          <w:kern w:val="0"/>
          <w:sz w:val="32"/>
          <w:szCs w:val="32"/>
        </w:rPr>
        <w:t>1</w:t>
      </w:r>
      <w:r w:rsidRPr="001309AC">
        <w:rPr>
          <w:rFonts w:ascii="仿宋_GB2312" w:eastAsia="仿宋_GB2312" w:hAnsi="Simsun" w:cs="宋体" w:hint="eastAsia"/>
          <w:color w:val="000000"/>
          <w:kern w:val="0"/>
          <w:sz w:val="32"/>
          <w:szCs w:val="32"/>
        </w:rPr>
        <w:t>日起施行。原《昆山市科技型中小企业贷款风险补偿风险池操作细则》（</w:t>
      </w:r>
      <w:proofErr w:type="gramStart"/>
      <w:r w:rsidRPr="001309AC">
        <w:rPr>
          <w:rFonts w:ascii="仿宋_GB2312" w:eastAsia="仿宋_GB2312" w:hAnsi="Simsun" w:cs="宋体" w:hint="eastAsia"/>
          <w:color w:val="000000"/>
          <w:kern w:val="0"/>
          <w:sz w:val="32"/>
          <w:szCs w:val="32"/>
        </w:rPr>
        <w:t>昆科字</w:t>
      </w:r>
      <w:proofErr w:type="gramEnd"/>
      <w:r w:rsidRPr="001309AC">
        <w:rPr>
          <w:rFonts w:ascii="仿宋_GB2312" w:eastAsia="仿宋_GB2312" w:hAnsi="Simsun" w:cs="宋体" w:hint="eastAsia"/>
          <w:color w:val="000000"/>
          <w:kern w:val="0"/>
          <w:sz w:val="32"/>
          <w:szCs w:val="32"/>
        </w:rPr>
        <w:t>〔</w:t>
      </w:r>
      <w:r w:rsidRPr="001309AC">
        <w:rPr>
          <w:rFonts w:ascii="Times New Roman" w:eastAsia="宋体" w:hAnsi="Times New Roman" w:cs="Times New Roman"/>
          <w:color w:val="000000"/>
          <w:kern w:val="0"/>
          <w:sz w:val="32"/>
          <w:szCs w:val="32"/>
        </w:rPr>
        <w:t>2013</w:t>
      </w:r>
      <w:r w:rsidRPr="001309AC">
        <w:rPr>
          <w:rFonts w:ascii="仿宋_GB2312" w:eastAsia="仿宋_GB2312" w:hAnsi="Simsun" w:cs="宋体" w:hint="eastAsia"/>
          <w:color w:val="000000"/>
          <w:kern w:val="0"/>
          <w:sz w:val="32"/>
          <w:szCs w:val="32"/>
        </w:rPr>
        <w:t>〕</w:t>
      </w:r>
      <w:r w:rsidRPr="001309AC">
        <w:rPr>
          <w:rFonts w:ascii="Times New Roman" w:eastAsia="宋体" w:hAnsi="Times New Roman" w:cs="Times New Roman"/>
          <w:color w:val="000000"/>
          <w:kern w:val="0"/>
          <w:sz w:val="32"/>
          <w:szCs w:val="32"/>
        </w:rPr>
        <w:t>56</w:t>
      </w:r>
      <w:r w:rsidRPr="001309AC">
        <w:rPr>
          <w:rFonts w:ascii="仿宋_GB2312" w:eastAsia="仿宋_GB2312" w:hAnsi="Simsun" w:cs="宋体" w:hint="eastAsia"/>
          <w:color w:val="000000"/>
          <w:kern w:val="0"/>
          <w:sz w:val="32"/>
          <w:szCs w:val="32"/>
        </w:rPr>
        <w:t>号）同时废止。</w:t>
      </w:r>
    </w:p>
    <w:p w:rsidR="004F30BD" w:rsidRDefault="004F30BD"/>
    <w:sectPr w:rsidR="004F30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DF"/>
    <w:rsid w:val="000653DF"/>
    <w:rsid w:val="001309AC"/>
    <w:rsid w:val="004F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248F7-A178-4D53-9A7C-74B7879D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33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2018-08-20T08:48:00Z</dcterms:created>
  <dcterms:modified xsi:type="dcterms:W3CDTF">2018-08-20T08:49:00Z</dcterms:modified>
</cp:coreProperties>
</file>