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61" w:rsidRPr="00B90561" w:rsidRDefault="00B90561" w:rsidP="00B90561">
      <w:pPr>
        <w:widowControl/>
        <w:shd w:val="clear" w:color="auto" w:fill="FFFFFF"/>
        <w:jc w:val="center"/>
        <w:rPr>
          <w:rFonts w:ascii="微软雅黑" w:eastAsia="微软雅黑" w:hAnsi="微软雅黑" w:cs="宋体"/>
          <w:color w:val="000000"/>
          <w:kern w:val="0"/>
          <w:sz w:val="24"/>
          <w:szCs w:val="24"/>
        </w:rPr>
      </w:pPr>
      <w:bookmarkStart w:id="0" w:name="_GoBack"/>
      <w:r w:rsidRPr="00B90561">
        <w:rPr>
          <w:rFonts w:ascii="宋体" w:eastAsia="宋体" w:hAnsi="宋体" w:cs="宋体" w:hint="eastAsia"/>
          <w:b/>
          <w:bCs/>
          <w:color w:val="000000"/>
          <w:kern w:val="0"/>
          <w:sz w:val="24"/>
          <w:szCs w:val="24"/>
        </w:rPr>
        <w:t>常州市武进区人民政府关于促进企业加快利用资本市场实现转型发展的意见</w:t>
      </w:r>
    </w:p>
    <w:bookmarkEnd w:id="0"/>
    <w:p w:rsidR="00B90561" w:rsidRPr="00B90561" w:rsidRDefault="00B90561" w:rsidP="00B90561">
      <w:pPr>
        <w:widowControl/>
        <w:spacing w:after="150" w:line="590" w:lineRule="atLeast"/>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各镇人民政府，开发区管委会，街道办事处，区各办局（公司）行，区各直属单位：</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为抢抓多层次资本市场建设机遇，鼓励和引导企业通过资本市场优化资源配置，加快制度创新，促进经济转型，现就促进企业加快利用资本市场实现转型发展意见制定如下：</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一、指导思想</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按照上市一批、申报一批、辅导一批、改制一批的基本思路，坚持境内外、场内外市场并举，IPO首发、借壳上市、增发融资与新三板挂牌并重，培育和引进并用，全力抢抓IPO发行注册制改革和新三板分层、</w:t>
      </w:r>
      <w:proofErr w:type="gramStart"/>
      <w:r w:rsidRPr="00B90561">
        <w:rPr>
          <w:rFonts w:ascii="宋体" w:eastAsia="宋体" w:hAnsi="宋体" w:cs="宋体" w:hint="eastAsia"/>
          <w:color w:val="333333"/>
          <w:kern w:val="0"/>
          <w:sz w:val="24"/>
          <w:szCs w:val="24"/>
          <w:shd w:val="clear" w:color="auto" w:fill="FFFFFF"/>
        </w:rPr>
        <w:t>转板等</w:t>
      </w:r>
      <w:proofErr w:type="gramEnd"/>
      <w:r w:rsidRPr="00B90561">
        <w:rPr>
          <w:rFonts w:ascii="宋体" w:eastAsia="宋体" w:hAnsi="宋体" w:cs="宋体" w:hint="eastAsia"/>
          <w:color w:val="333333"/>
          <w:kern w:val="0"/>
          <w:sz w:val="24"/>
          <w:szCs w:val="24"/>
          <w:shd w:val="clear" w:color="auto" w:fill="FFFFFF"/>
        </w:rPr>
        <w:t>重大机遇，强化政策引导，优化服务环境，深入推进企业股份制改革，加快企业上市挂牌步伐，发挥资本市场在优化资源配置中的作用，不断优化产业结构，促进转型升级，增强区域发展动力。</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二、工作原则</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1．坚持政府扶持、企业为主的原则。以企业为上市或挂牌主体，通过政策扶持，服务帮助，引导企业加快股份制改革，利用资本市场进行并购重组等资本运作，实现持续发展。</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2．坚持梯度推进、分步实施的原则。立足当前和长远发展相结合，挖掘成长性良好的后备企业资源，推进企业股份制改革，建立上市或挂牌企业后备库，培育一批，改制一批，上市挂牌一批，有序推进。</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lastRenderedPageBreak/>
        <w:t>3．坚持点面结合、重点突出的原则。在面上推广的同时，重点做好新兴产业、高新技术企业等重点领域、重点板块企业的上市或挂牌培育，加强重点优质企业的辅导与扶持，争取部分优质企业率先改制上市或挂牌。</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三、工作目标</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1．企业股份制改革。到2018年，全区股份有限公司突破200家，2016年实现每镇都有股份有限公司。</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企业上市挂牌。到2018年，全区上市挂牌企业达100家，其中上市企业30家，新三板挂牌企业70家。2017年实现各镇均有新三板挂牌企业，2018年实现各镇均有上市企业。到2018年，经开区、高新区、西太湖和区级国有公司均实现控股一家上市或新三板挂牌企业。</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四、工作重点</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1．加快推进企业股份制改革。按照“资产资本化、资本市场化”的基本思路，坚持“政府引导、企业自愿，依法合</w:t>
      </w:r>
      <w:proofErr w:type="gramStart"/>
      <w:r w:rsidRPr="00B90561">
        <w:rPr>
          <w:rFonts w:ascii="宋体" w:eastAsia="宋体" w:hAnsi="宋体" w:cs="宋体" w:hint="eastAsia"/>
          <w:color w:val="333333"/>
          <w:kern w:val="0"/>
          <w:sz w:val="24"/>
          <w:szCs w:val="24"/>
          <w:shd w:val="clear" w:color="auto" w:fill="FFFFFF"/>
        </w:rPr>
        <w:t>规</w:t>
      </w:r>
      <w:proofErr w:type="gramEnd"/>
      <w:r w:rsidRPr="00B90561">
        <w:rPr>
          <w:rFonts w:ascii="宋体" w:eastAsia="宋体" w:hAnsi="宋体" w:cs="宋体" w:hint="eastAsia"/>
          <w:color w:val="333333"/>
          <w:kern w:val="0"/>
          <w:sz w:val="24"/>
          <w:szCs w:val="24"/>
          <w:shd w:val="clear" w:color="auto" w:fill="FFFFFF"/>
        </w:rPr>
        <w:t>、有序推进”的原则，以建立现代企业制度为基本目标，对于符合国家产业政策、主营业务突出、资产质量较高、盈利水平较好、竞争能力较强、具有一定发展潜力的企业，加快股份制改革，解决企业股</w:t>
      </w:r>
      <w:proofErr w:type="gramStart"/>
      <w:r w:rsidRPr="00B90561">
        <w:rPr>
          <w:rFonts w:ascii="宋体" w:eastAsia="宋体" w:hAnsi="宋体" w:cs="宋体" w:hint="eastAsia"/>
          <w:color w:val="333333"/>
          <w:kern w:val="0"/>
          <w:sz w:val="24"/>
          <w:szCs w:val="24"/>
          <w:shd w:val="clear" w:color="auto" w:fill="FFFFFF"/>
        </w:rPr>
        <w:t>改过程</w:t>
      </w:r>
      <w:proofErr w:type="gramEnd"/>
      <w:r w:rsidRPr="00B90561">
        <w:rPr>
          <w:rFonts w:ascii="宋体" w:eastAsia="宋体" w:hAnsi="宋体" w:cs="宋体" w:hint="eastAsia"/>
          <w:color w:val="333333"/>
          <w:kern w:val="0"/>
          <w:sz w:val="24"/>
          <w:szCs w:val="24"/>
          <w:shd w:val="clear" w:color="auto" w:fill="FFFFFF"/>
        </w:rPr>
        <w:t>所涉及的税务、土地、房产、工商及其它行政许可、历史沿革等问题，厘清企业资产权属和相关权利义务；建立“产权清晰、权责明确”的法人治理结构，完善股东大会、董事会、监事会的设置；规范企业经营管理，建立健全各项管理制度，形成较为完整的现代企业制度体系，不断改进企业管理层和员工激励机制。2016-2018年，新增股份有限公司150家左右。</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lastRenderedPageBreak/>
        <w:t>2．培育上市挂牌后备企业。按照“培育一批、股改一批、辅导一批、申报一批”的要求，制定科学合理的培育计划，加快上市挂牌后备企业的培育。对符合产业政策的行业龙头企业、高新技术企业、高成长型企业进行优选培育，把已和券商等中介机构签约并开展股份制改制等上市前期准备工作的企业，及时纳入上市后备企业库，确保上市后备企业总数保持在30家左右。根据产业转型升级方向，重点选择业务明确、规范经营、创新能力强的成长型企业列入新三板挂牌后备企业库，确保新三板挂牌后备企业总数保持在50家左右。</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3．拓展企业上市挂牌途径。分类指导企业选择合适的资本市场进行融资发展，引导资产规模大、盈利能力强的大型企业集团在国内主板上市，引导规模相对较小而主营业务突出、行业排名较前的企业在中小板上市，引导符合“两高六新”要求的企业在创业板上市。抢抓新三板扩容、分层、</w:t>
      </w:r>
      <w:proofErr w:type="gramStart"/>
      <w:r w:rsidRPr="00B90561">
        <w:rPr>
          <w:rFonts w:ascii="宋体" w:eastAsia="宋体" w:hAnsi="宋体" w:cs="宋体" w:hint="eastAsia"/>
          <w:color w:val="333333"/>
          <w:kern w:val="0"/>
          <w:sz w:val="24"/>
          <w:szCs w:val="24"/>
          <w:shd w:val="clear" w:color="auto" w:fill="FFFFFF"/>
        </w:rPr>
        <w:t>转板等</w:t>
      </w:r>
      <w:proofErr w:type="gramEnd"/>
      <w:r w:rsidRPr="00B90561">
        <w:rPr>
          <w:rFonts w:ascii="宋体" w:eastAsia="宋体" w:hAnsi="宋体" w:cs="宋体" w:hint="eastAsia"/>
          <w:color w:val="333333"/>
          <w:kern w:val="0"/>
          <w:sz w:val="24"/>
          <w:szCs w:val="24"/>
          <w:shd w:val="clear" w:color="auto" w:fill="FFFFFF"/>
        </w:rPr>
        <w:t>重大机遇，加快推进高科技、高成长型企业赴新三板挂牌，帮助企业创造条件进入创新层</w:t>
      </w:r>
      <w:proofErr w:type="gramStart"/>
      <w:r w:rsidRPr="00B90561">
        <w:rPr>
          <w:rFonts w:ascii="宋体" w:eastAsia="宋体" w:hAnsi="宋体" w:cs="宋体" w:hint="eastAsia"/>
          <w:color w:val="333333"/>
          <w:kern w:val="0"/>
          <w:sz w:val="24"/>
          <w:szCs w:val="24"/>
          <w:shd w:val="clear" w:color="auto" w:fill="FFFFFF"/>
        </w:rPr>
        <w:t>或转板上市</w:t>
      </w:r>
      <w:proofErr w:type="gramEnd"/>
      <w:r w:rsidRPr="00B90561">
        <w:rPr>
          <w:rFonts w:ascii="宋体" w:eastAsia="宋体" w:hAnsi="宋体" w:cs="宋体" w:hint="eastAsia"/>
          <w:color w:val="333333"/>
          <w:kern w:val="0"/>
          <w:sz w:val="24"/>
          <w:szCs w:val="24"/>
          <w:shd w:val="clear" w:color="auto" w:fill="FFFFFF"/>
        </w:rPr>
        <w:t>。鼓励已在境外设立公司和因受政策影响难以在国内上市的企业赴境外上市。2016-2018年全区新增上市企业13家左右，新增新三板挂牌企业56家左右。</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4．支持企业开展并购重组。鼓励企业通过兼并重组优化资金、技术、人才等生产要素配置，实施业务流程再造和技术升级改造，加强管理创新，实现优势互补、</w:t>
      </w:r>
      <w:proofErr w:type="gramStart"/>
      <w:r w:rsidRPr="00B90561">
        <w:rPr>
          <w:rFonts w:ascii="宋体" w:eastAsia="宋体" w:hAnsi="宋体" w:cs="宋体" w:hint="eastAsia"/>
          <w:color w:val="333333"/>
          <w:kern w:val="0"/>
          <w:sz w:val="24"/>
          <w:szCs w:val="24"/>
          <w:shd w:val="clear" w:color="auto" w:fill="FFFFFF"/>
        </w:rPr>
        <w:t>做优做</w:t>
      </w:r>
      <w:proofErr w:type="gramEnd"/>
      <w:r w:rsidRPr="00B90561">
        <w:rPr>
          <w:rFonts w:ascii="宋体" w:eastAsia="宋体" w:hAnsi="宋体" w:cs="宋体" w:hint="eastAsia"/>
          <w:color w:val="333333"/>
          <w:kern w:val="0"/>
          <w:sz w:val="24"/>
          <w:szCs w:val="24"/>
          <w:shd w:val="clear" w:color="auto" w:fill="FFFFFF"/>
        </w:rPr>
        <w:t>强。推动优势企业强</w:t>
      </w:r>
      <w:proofErr w:type="gramStart"/>
      <w:r w:rsidRPr="00B90561">
        <w:rPr>
          <w:rFonts w:ascii="宋体" w:eastAsia="宋体" w:hAnsi="宋体" w:cs="宋体" w:hint="eastAsia"/>
          <w:color w:val="333333"/>
          <w:kern w:val="0"/>
          <w:sz w:val="24"/>
          <w:szCs w:val="24"/>
          <w:shd w:val="clear" w:color="auto" w:fill="FFFFFF"/>
        </w:rPr>
        <w:t>强</w:t>
      </w:r>
      <w:proofErr w:type="gramEnd"/>
      <w:r w:rsidRPr="00B90561">
        <w:rPr>
          <w:rFonts w:ascii="宋体" w:eastAsia="宋体" w:hAnsi="宋体" w:cs="宋体" w:hint="eastAsia"/>
          <w:color w:val="333333"/>
          <w:kern w:val="0"/>
          <w:sz w:val="24"/>
          <w:szCs w:val="24"/>
          <w:shd w:val="clear" w:color="auto" w:fill="FFFFFF"/>
        </w:rPr>
        <w:t>联合、实施战略性重组，带动中小企业“专精特新”发展，形成优强企业主导、大中小企业协调发展的产业格局。支持上市或挂牌企业充分利用资本市场优势，积极开展增发和发债等资本运营，并购重组进行产业链整合，进一步壮大企业规模，提高资源优化配置能力</w:t>
      </w:r>
      <w:r w:rsidRPr="00B90561">
        <w:rPr>
          <w:rFonts w:ascii="宋体" w:eastAsia="宋体" w:hAnsi="宋体" w:cs="宋体" w:hint="eastAsia"/>
          <w:color w:val="333333"/>
          <w:kern w:val="0"/>
          <w:sz w:val="24"/>
          <w:szCs w:val="24"/>
          <w:shd w:val="clear" w:color="auto" w:fill="FFFFFF"/>
        </w:rPr>
        <w:lastRenderedPageBreak/>
        <w:t>和市场竞争力。根据企业实际情况，鼓励企业通过并购重组实现“借壳上市”或“捆绑上市”。</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5．引进优质上市、挂牌企业。依托我区产业配套齐全、人文底蕴深厚、交通条件优越、服务环境优良的条件，上下联动，多方出击，瞄准北京、上海、深圳等上市挂牌企业先进地区，开展专题调研活动，举办武进投资说明会，积极吸引境内外上市公司和新三板企业投资武进，鼓励上市挂牌公司总部搬迁入户武进。</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五、政策措施</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1．加大企业股</w:t>
      </w:r>
      <w:proofErr w:type="gramStart"/>
      <w:r w:rsidRPr="00B90561">
        <w:rPr>
          <w:rFonts w:ascii="宋体" w:eastAsia="宋体" w:hAnsi="宋体" w:cs="宋体" w:hint="eastAsia"/>
          <w:color w:val="333333"/>
          <w:kern w:val="0"/>
          <w:sz w:val="24"/>
          <w:szCs w:val="24"/>
          <w:shd w:val="clear" w:color="auto" w:fill="FFFFFF"/>
        </w:rPr>
        <w:t>改上市</w:t>
      </w:r>
      <w:proofErr w:type="gramEnd"/>
      <w:r w:rsidRPr="00B90561">
        <w:rPr>
          <w:rFonts w:ascii="宋体" w:eastAsia="宋体" w:hAnsi="宋体" w:cs="宋体" w:hint="eastAsia"/>
          <w:color w:val="333333"/>
          <w:kern w:val="0"/>
          <w:sz w:val="24"/>
          <w:szCs w:val="24"/>
          <w:shd w:val="clear" w:color="auto" w:fill="FFFFFF"/>
        </w:rPr>
        <w:t>挂牌政策扶持力度。</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（1）继续执行《常州市武进区人民政府关于印发关于促进企业加快利用资本市场建立现代企业制度的意见的通知》（武政发〔2014〕150号）有关企业股改、企业上市和新三板等场外市场挂牌相关扶持政策。</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（2）对搬迁入驻武进的上市公司和新三板挂牌企业，分别给予一次性奖励100万元和50万元。</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（3）新三板挂牌企业成功实现增发再融资1亿元以上且募集资金75%以上（含）投入武进项目建设的，奖励30万元。</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（4）《常州市武进区人民政府关于印发关于促进企业加快利用资本市场建立现代企业制度的意见的通知》（武政发〔2014〕150号）新三板等场外市场挂牌政策第4条中不必改制为股份有限公司的挂牌奖励政策取消。</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2．鼓励企业并购重组。</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lastRenderedPageBreak/>
        <w:t>（1）认真贯彻执行《国务院关于进一步优化企业兼并重组市场环境的意见》（国发〔2014〕14号）文件精神，积极落实《关于进一步支持企业事业单位改制重组有关契税政策的通知》（财税〔2015〕37号）、《关于企业改制重组有关土地增值税政策的通知》（财税〔2015〕5号）、《关于促进企业重组有关企业所得税处理问题的通知》（财税〔2014〕109号）等并购重组税收政策。</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（2）同</w:t>
      </w:r>
      <w:proofErr w:type="gramStart"/>
      <w:r w:rsidRPr="00B90561">
        <w:rPr>
          <w:rFonts w:ascii="宋体" w:eastAsia="宋体" w:hAnsi="宋体" w:cs="宋体" w:hint="eastAsia"/>
          <w:color w:val="333333"/>
          <w:kern w:val="0"/>
          <w:sz w:val="24"/>
          <w:szCs w:val="24"/>
          <w:shd w:val="clear" w:color="auto" w:fill="FFFFFF"/>
        </w:rPr>
        <w:t>一控制</w:t>
      </w:r>
      <w:proofErr w:type="gramEnd"/>
      <w:r w:rsidRPr="00B90561">
        <w:rPr>
          <w:rFonts w:ascii="宋体" w:eastAsia="宋体" w:hAnsi="宋体" w:cs="宋体" w:hint="eastAsia"/>
          <w:color w:val="333333"/>
          <w:kern w:val="0"/>
          <w:sz w:val="24"/>
          <w:szCs w:val="24"/>
          <w:shd w:val="clear" w:color="auto" w:fill="FFFFFF"/>
        </w:rPr>
        <w:t>下的企业因上市挂牌或已上市挂牌公司重组需要进行合并、分立、股权转让、资产转让等并购重组，涉及的土地、房产交易费由区财政给予50%的奖励（已上市挂牌公司承担缴纳义务的除外）。</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六、保障措施</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1．强化组织领导。区企业上市工作领导小组全面负责全区企业上市和挂牌工作的组织领导，协调解决企业上市挂牌过程中遇到的重大问题，建立企业上市挂牌绿色通道。各镇、开发区和相关部门要引起高度重视，把股</w:t>
      </w:r>
      <w:proofErr w:type="gramStart"/>
      <w:r w:rsidRPr="00B90561">
        <w:rPr>
          <w:rFonts w:ascii="宋体" w:eastAsia="宋体" w:hAnsi="宋体" w:cs="宋体" w:hint="eastAsia"/>
          <w:color w:val="333333"/>
          <w:kern w:val="0"/>
          <w:sz w:val="24"/>
          <w:szCs w:val="24"/>
          <w:shd w:val="clear" w:color="auto" w:fill="FFFFFF"/>
        </w:rPr>
        <w:t>改上市</w:t>
      </w:r>
      <w:proofErr w:type="gramEnd"/>
      <w:r w:rsidRPr="00B90561">
        <w:rPr>
          <w:rFonts w:ascii="宋体" w:eastAsia="宋体" w:hAnsi="宋体" w:cs="宋体" w:hint="eastAsia"/>
          <w:color w:val="333333"/>
          <w:kern w:val="0"/>
          <w:sz w:val="24"/>
          <w:szCs w:val="24"/>
          <w:shd w:val="clear" w:color="auto" w:fill="FFFFFF"/>
        </w:rPr>
        <w:t>挂牌工作作为“一把手”工程，加强组织领导，加快协调推进。</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2．明确工作责任。各镇、开发区要根据各自职责，成立相应的领导机构和工作机构，明确专人负责，并根据全区企业股</w:t>
      </w:r>
      <w:proofErr w:type="gramStart"/>
      <w:r w:rsidRPr="00B90561">
        <w:rPr>
          <w:rFonts w:ascii="宋体" w:eastAsia="宋体" w:hAnsi="宋体" w:cs="宋体" w:hint="eastAsia"/>
          <w:color w:val="333333"/>
          <w:kern w:val="0"/>
          <w:sz w:val="24"/>
          <w:szCs w:val="24"/>
          <w:shd w:val="clear" w:color="auto" w:fill="FFFFFF"/>
        </w:rPr>
        <w:t>改上市</w:t>
      </w:r>
      <w:proofErr w:type="gramEnd"/>
      <w:r w:rsidRPr="00B90561">
        <w:rPr>
          <w:rFonts w:ascii="宋体" w:eastAsia="宋体" w:hAnsi="宋体" w:cs="宋体" w:hint="eastAsia"/>
          <w:color w:val="333333"/>
          <w:kern w:val="0"/>
          <w:sz w:val="24"/>
          <w:szCs w:val="24"/>
          <w:shd w:val="clear" w:color="auto" w:fill="FFFFFF"/>
        </w:rPr>
        <w:t>挂牌的目标任务，及时制定相应的推进计划，明确年度目标任务，落实工作责任，确保各项任务落到实处。区各有关部门要靠前指导企业上市和挂牌工作，及时依法出具相关文件，努力帮助企业降低上市和挂牌成本，提供优质服务。</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3．加强宣传培训。充分利用各种途径、各种形式，大力宣传开展企业股份制度改革和上市挂牌的优势，鼓励和引导企业积极利用资本市场做大做强。进一步深化与沪深交易所、全国中小企业股份转让系统、区域性资本市场等交</w:t>
      </w:r>
      <w:r w:rsidRPr="00B90561">
        <w:rPr>
          <w:rFonts w:ascii="宋体" w:eastAsia="宋体" w:hAnsi="宋体" w:cs="宋体" w:hint="eastAsia"/>
          <w:color w:val="333333"/>
          <w:kern w:val="0"/>
          <w:sz w:val="24"/>
          <w:szCs w:val="24"/>
          <w:shd w:val="clear" w:color="auto" w:fill="FFFFFF"/>
        </w:rPr>
        <w:lastRenderedPageBreak/>
        <w:t>易平台的合作，扎实开展上市挂牌工作专题辅导和培训交流，提高企业上市挂牌工作实务操作水平。要逐镇</w:t>
      </w:r>
      <w:proofErr w:type="gramStart"/>
      <w:r w:rsidRPr="00B90561">
        <w:rPr>
          <w:rFonts w:ascii="宋体" w:eastAsia="宋体" w:hAnsi="宋体" w:cs="宋体" w:hint="eastAsia"/>
          <w:color w:val="333333"/>
          <w:kern w:val="0"/>
          <w:sz w:val="24"/>
          <w:szCs w:val="24"/>
          <w:shd w:val="clear" w:color="auto" w:fill="FFFFFF"/>
        </w:rPr>
        <w:t>逐企开展</w:t>
      </w:r>
      <w:proofErr w:type="gramEnd"/>
      <w:r w:rsidRPr="00B90561">
        <w:rPr>
          <w:rFonts w:ascii="宋体" w:eastAsia="宋体" w:hAnsi="宋体" w:cs="宋体" w:hint="eastAsia"/>
          <w:color w:val="333333"/>
          <w:kern w:val="0"/>
          <w:sz w:val="24"/>
          <w:szCs w:val="24"/>
          <w:shd w:val="clear" w:color="auto" w:fill="FFFFFF"/>
        </w:rPr>
        <w:t>企业上市和挂牌业务培训，为企业融资决策提供帮助，组织已上市或挂牌企业进行经验交流，通过典型示范，激励后备企业加快和资本市场对接。</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4．落实扶持政策。及时兑现企业</w:t>
      </w:r>
      <w:proofErr w:type="gramStart"/>
      <w:r w:rsidRPr="00B90561">
        <w:rPr>
          <w:rFonts w:ascii="宋体" w:eastAsia="宋体" w:hAnsi="宋体" w:cs="宋体" w:hint="eastAsia"/>
          <w:color w:val="333333"/>
          <w:kern w:val="0"/>
          <w:sz w:val="24"/>
          <w:szCs w:val="24"/>
          <w:shd w:val="clear" w:color="auto" w:fill="FFFFFF"/>
        </w:rPr>
        <w:t>涉及股改上市</w:t>
      </w:r>
      <w:proofErr w:type="gramEnd"/>
      <w:r w:rsidRPr="00B90561">
        <w:rPr>
          <w:rFonts w:ascii="宋体" w:eastAsia="宋体" w:hAnsi="宋体" w:cs="宋体" w:hint="eastAsia"/>
          <w:color w:val="333333"/>
          <w:kern w:val="0"/>
          <w:sz w:val="24"/>
          <w:szCs w:val="24"/>
          <w:shd w:val="clear" w:color="auto" w:fill="FFFFFF"/>
        </w:rPr>
        <w:t>挂牌及并购重组相关政策。在安排年度各</w:t>
      </w:r>
      <w:proofErr w:type="gramStart"/>
      <w:r w:rsidRPr="00B90561">
        <w:rPr>
          <w:rFonts w:ascii="宋体" w:eastAsia="宋体" w:hAnsi="宋体" w:cs="宋体" w:hint="eastAsia"/>
          <w:color w:val="333333"/>
          <w:kern w:val="0"/>
          <w:sz w:val="24"/>
          <w:szCs w:val="24"/>
          <w:shd w:val="clear" w:color="auto" w:fill="FFFFFF"/>
        </w:rPr>
        <w:t>类引导资</w:t>
      </w:r>
      <w:proofErr w:type="gramEnd"/>
      <w:r w:rsidRPr="00B90561">
        <w:rPr>
          <w:rFonts w:ascii="宋体" w:eastAsia="宋体" w:hAnsi="宋体" w:cs="宋体" w:hint="eastAsia"/>
          <w:color w:val="333333"/>
          <w:kern w:val="0"/>
          <w:sz w:val="24"/>
          <w:szCs w:val="24"/>
          <w:shd w:val="clear" w:color="auto" w:fill="FFFFFF"/>
        </w:rPr>
        <w:t>（基）金时，优先支持已上市挂牌企业及后备企业，优先解决已上市挂牌企业及后备企业所需项目用地指标。区发改、经信、科技等部门要优先为已上市挂牌企业及后备企业向国家、省申报国债项目、高新技术企业、高新技术产业化项目、科技成果转化资金。区新兴产业基金以入股或股</w:t>
      </w:r>
      <w:proofErr w:type="gramStart"/>
      <w:r w:rsidRPr="00B90561">
        <w:rPr>
          <w:rFonts w:ascii="宋体" w:eastAsia="宋体" w:hAnsi="宋体" w:cs="宋体" w:hint="eastAsia"/>
          <w:color w:val="333333"/>
          <w:kern w:val="0"/>
          <w:sz w:val="24"/>
          <w:szCs w:val="24"/>
          <w:shd w:val="clear" w:color="auto" w:fill="FFFFFF"/>
        </w:rPr>
        <w:t>债结合</w:t>
      </w:r>
      <w:proofErr w:type="gramEnd"/>
      <w:r w:rsidRPr="00B90561">
        <w:rPr>
          <w:rFonts w:ascii="宋体" w:eastAsia="宋体" w:hAnsi="宋体" w:cs="宋体" w:hint="eastAsia"/>
          <w:color w:val="333333"/>
          <w:kern w:val="0"/>
          <w:sz w:val="24"/>
          <w:szCs w:val="24"/>
          <w:shd w:val="clear" w:color="auto" w:fill="FFFFFF"/>
        </w:rPr>
        <w:t>的方式优先扶持我区以上市挂牌为目标的股改企业。对于企业在上市挂牌及并购重组过程中遇到的特殊重大问题，采取“一事一议”的办法予以协调解决。</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5．严格工作考核。区将把企业股份制改革、上市挂牌工作纳入镇（开发区）年度工作目标和综合考核范围，年终由区金融办会同有关部门进行考核。各镇、开发区要根据企业股份制度改革、上市挂牌工作年度工作目标任务，制定相应的考核办法，加强考核，确保企业股份制度改革、上市挂牌工作顺利推进。</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原有规定与本意见不一致的，以本意见为准，本意</w:t>
      </w:r>
      <w:proofErr w:type="gramStart"/>
      <w:r w:rsidRPr="00B90561">
        <w:rPr>
          <w:rFonts w:ascii="宋体" w:eastAsia="宋体" w:hAnsi="宋体" w:cs="宋体" w:hint="eastAsia"/>
          <w:color w:val="333333"/>
          <w:kern w:val="0"/>
          <w:sz w:val="24"/>
          <w:szCs w:val="24"/>
          <w:shd w:val="clear" w:color="auto" w:fill="FFFFFF"/>
        </w:rPr>
        <w:t>见执行</w:t>
      </w:r>
      <w:proofErr w:type="gramEnd"/>
      <w:r w:rsidRPr="00B90561">
        <w:rPr>
          <w:rFonts w:ascii="宋体" w:eastAsia="宋体" w:hAnsi="宋体" w:cs="宋体" w:hint="eastAsia"/>
          <w:color w:val="333333"/>
          <w:kern w:val="0"/>
          <w:sz w:val="24"/>
          <w:szCs w:val="24"/>
          <w:shd w:val="clear" w:color="auto" w:fill="FFFFFF"/>
        </w:rPr>
        <w:t>至2018年底。</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 </w:t>
      </w:r>
    </w:p>
    <w:p w:rsidR="00B90561" w:rsidRPr="00B90561" w:rsidRDefault="00B90561" w:rsidP="00B90561">
      <w:pPr>
        <w:widowControl/>
        <w:spacing w:after="150" w:line="600" w:lineRule="atLeast"/>
        <w:ind w:firstLine="64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附件：2016-2018年全区企业股</w:t>
      </w:r>
      <w:proofErr w:type="gramStart"/>
      <w:r w:rsidRPr="00B90561">
        <w:rPr>
          <w:rFonts w:ascii="宋体" w:eastAsia="宋体" w:hAnsi="宋体" w:cs="宋体" w:hint="eastAsia"/>
          <w:color w:val="333333"/>
          <w:kern w:val="0"/>
          <w:sz w:val="24"/>
          <w:szCs w:val="24"/>
          <w:shd w:val="clear" w:color="auto" w:fill="FFFFFF"/>
        </w:rPr>
        <w:t>改上市</w:t>
      </w:r>
      <w:proofErr w:type="gramEnd"/>
      <w:r w:rsidRPr="00B90561">
        <w:rPr>
          <w:rFonts w:ascii="宋体" w:eastAsia="宋体" w:hAnsi="宋体" w:cs="宋体" w:hint="eastAsia"/>
          <w:color w:val="333333"/>
          <w:kern w:val="0"/>
          <w:sz w:val="24"/>
          <w:szCs w:val="24"/>
          <w:shd w:val="clear" w:color="auto" w:fill="FFFFFF"/>
        </w:rPr>
        <w:t>挂牌任务分解表</w:t>
      </w:r>
    </w:p>
    <w:p w:rsidR="00B90561" w:rsidRPr="00B90561" w:rsidRDefault="00B90561" w:rsidP="00B90561">
      <w:pPr>
        <w:widowControl/>
        <w:spacing w:after="150" w:line="570" w:lineRule="atLeast"/>
        <w:jc w:val="center"/>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 </w:t>
      </w:r>
    </w:p>
    <w:p w:rsidR="00B90561" w:rsidRPr="00B90561" w:rsidRDefault="00B90561" w:rsidP="00B90561">
      <w:pPr>
        <w:widowControl/>
        <w:spacing w:after="150" w:line="570" w:lineRule="atLeast"/>
        <w:ind w:firstLine="4800"/>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lastRenderedPageBreak/>
        <w:t>常州市武进区人民政府</w:t>
      </w:r>
    </w:p>
    <w:p w:rsidR="00B90561" w:rsidRPr="00B90561" w:rsidRDefault="00B90561" w:rsidP="00B90561">
      <w:pPr>
        <w:widowControl/>
        <w:spacing w:after="150" w:line="570" w:lineRule="atLeast"/>
        <w:ind w:firstLine="5219"/>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2016年3月18日</w:t>
      </w:r>
    </w:p>
    <w:p w:rsidR="00B90561" w:rsidRPr="00B90561" w:rsidRDefault="00B90561" w:rsidP="00B90561">
      <w:pPr>
        <w:widowControl/>
        <w:spacing w:line="440" w:lineRule="atLeast"/>
        <w:ind w:firstLine="280"/>
        <w:jc w:val="left"/>
        <w:rPr>
          <w:rFonts w:ascii="微软雅黑" w:eastAsia="微软雅黑" w:hAnsi="微软雅黑" w:cs="宋体" w:hint="eastAsia"/>
          <w:color w:val="333333"/>
          <w:kern w:val="0"/>
          <w:sz w:val="24"/>
          <w:szCs w:val="24"/>
          <w:shd w:val="clear" w:color="auto" w:fill="FFFFFF"/>
        </w:rPr>
      </w:pPr>
      <w:r w:rsidRPr="00B90561">
        <w:rPr>
          <w:rFonts w:ascii="微软雅黑" w:eastAsia="微软雅黑" w:hAnsi="微软雅黑" w:cs="宋体" w:hint="eastAsia"/>
          <w:color w:val="333333"/>
          <w:kern w:val="0"/>
          <w:sz w:val="24"/>
          <w:szCs w:val="24"/>
          <w:shd w:val="clear" w:color="auto" w:fill="FFFFFF"/>
        </w:rPr>
        <w:t>抄送：常州供电公司，区委各部委办，区人大常委会办公室，区政协</w:t>
      </w:r>
    </w:p>
    <w:p w:rsidR="00B90561" w:rsidRPr="00B90561" w:rsidRDefault="00B90561" w:rsidP="00B90561">
      <w:pPr>
        <w:widowControl/>
        <w:spacing w:line="440" w:lineRule="atLeast"/>
        <w:ind w:firstLine="1120"/>
        <w:jc w:val="left"/>
        <w:rPr>
          <w:rFonts w:ascii="微软雅黑" w:eastAsia="微软雅黑" w:hAnsi="微软雅黑" w:cs="宋体" w:hint="eastAsia"/>
          <w:color w:val="333333"/>
          <w:kern w:val="0"/>
          <w:sz w:val="24"/>
          <w:szCs w:val="24"/>
          <w:shd w:val="clear" w:color="auto" w:fill="FFFFFF"/>
        </w:rPr>
      </w:pPr>
      <w:r w:rsidRPr="00B90561">
        <w:rPr>
          <w:rFonts w:ascii="微软雅黑" w:eastAsia="微软雅黑" w:hAnsi="微软雅黑" w:cs="宋体" w:hint="eastAsia"/>
          <w:color w:val="333333"/>
          <w:kern w:val="0"/>
          <w:sz w:val="24"/>
          <w:szCs w:val="24"/>
          <w:shd w:val="clear" w:color="auto" w:fill="FFFFFF"/>
        </w:rPr>
        <w:t>办公室，区法院，区检察院，区人武部，区各人民团体。</w:t>
      </w:r>
    </w:p>
    <w:p w:rsidR="00B90561" w:rsidRPr="00B90561" w:rsidRDefault="00B90561" w:rsidP="00B90561">
      <w:pPr>
        <w:widowControl/>
        <w:spacing w:line="440" w:lineRule="atLeast"/>
        <w:ind w:firstLine="280"/>
        <w:jc w:val="left"/>
        <w:rPr>
          <w:rFonts w:ascii="微软雅黑" w:eastAsia="微软雅黑" w:hAnsi="微软雅黑" w:cs="宋体" w:hint="eastAsia"/>
          <w:color w:val="333333"/>
          <w:kern w:val="0"/>
          <w:sz w:val="24"/>
          <w:szCs w:val="24"/>
          <w:shd w:val="clear" w:color="auto" w:fill="FFFFFF"/>
        </w:rPr>
      </w:pPr>
      <w:r w:rsidRPr="00B90561">
        <w:rPr>
          <w:rFonts w:ascii="微软雅黑" w:eastAsia="微软雅黑" w:hAnsi="微软雅黑" w:cs="宋体" w:hint="eastAsia"/>
          <w:color w:val="333333"/>
          <w:kern w:val="0"/>
          <w:sz w:val="24"/>
          <w:szCs w:val="24"/>
          <w:shd w:val="clear" w:color="auto" w:fill="FFFFFF"/>
        </w:rPr>
        <w:t>常州市武进区人民政府办公室              2016年3月25日印发</w:t>
      </w:r>
    </w:p>
    <w:p w:rsidR="00B90561" w:rsidRPr="00B90561" w:rsidRDefault="00B90561" w:rsidP="00B90561">
      <w:pPr>
        <w:widowControl/>
        <w:spacing w:line="525" w:lineRule="atLeast"/>
        <w:jc w:val="left"/>
        <w:rPr>
          <w:rFonts w:ascii="宋体" w:eastAsia="宋体" w:hAnsi="宋体" w:cs="宋体" w:hint="eastAsia"/>
          <w:color w:val="333333"/>
          <w:kern w:val="0"/>
          <w:sz w:val="24"/>
          <w:szCs w:val="24"/>
          <w:shd w:val="clear" w:color="auto" w:fill="FFFFFF"/>
        </w:rPr>
      </w:pPr>
      <w:r w:rsidRPr="00B90561">
        <w:rPr>
          <w:rFonts w:ascii="微软雅黑" w:eastAsia="微软雅黑" w:hAnsi="微软雅黑" w:cs="宋体" w:hint="eastAsia"/>
          <w:color w:val="333333"/>
          <w:kern w:val="0"/>
          <w:sz w:val="24"/>
          <w:szCs w:val="24"/>
          <w:shd w:val="clear" w:color="auto" w:fill="FFFFFF"/>
        </w:rPr>
        <w:br w:type="textWrapping" w:clear="all"/>
      </w:r>
      <w:r w:rsidRPr="00B90561">
        <w:rPr>
          <w:rFonts w:ascii="宋体" w:eastAsia="宋体" w:hAnsi="宋体" w:cs="宋体" w:hint="eastAsia"/>
          <w:color w:val="333333"/>
          <w:kern w:val="0"/>
          <w:sz w:val="24"/>
          <w:szCs w:val="24"/>
          <w:shd w:val="clear" w:color="auto" w:fill="FFFFFF"/>
        </w:rPr>
        <w:t> </w:t>
      </w:r>
    </w:p>
    <w:p w:rsidR="00B90561" w:rsidRPr="00B90561" w:rsidRDefault="00B90561" w:rsidP="00B90561">
      <w:pPr>
        <w:widowControl/>
        <w:spacing w:line="440" w:lineRule="atLeast"/>
        <w:jc w:val="left"/>
        <w:rPr>
          <w:rFonts w:ascii="宋体" w:eastAsia="宋体" w:hAnsi="宋体" w:cs="宋体" w:hint="eastAsia"/>
          <w:color w:val="333333"/>
          <w:kern w:val="0"/>
          <w:sz w:val="24"/>
          <w:szCs w:val="24"/>
          <w:shd w:val="clear" w:color="auto" w:fill="FFFFFF"/>
        </w:rPr>
      </w:pPr>
      <w:r w:rsidRPr="00B90561">
        <w:rPr>
          <w:rFonts w:ascii="微软雅黑" w:eastAsia="微软雅黑" w:hAnsi="微软雅黑" w:cs="宋体" w:hint="eastAsia"/>
          <w:color w:val="333333"/>
          <w:kern w:val="0"/>
          <w:sz w:val="24"/>
          <w:szCs w:val="24"/>
          <w:shd w:val="clear" w:color="auto" w:fill="FFFFFF"/>
        </w:rPr>
        <w:t>附件</w:t>
      </w:r>
    </w:p>
    <w:p w:rsidR="00B90561" w:rsidRPr="00B90561" w:rsidRDefault="00B90561" w:rsidP="00B90561">
      <w:pPr>
        <w:widowControl/>
        <w:spacing w:after="150" w:line="400" w:lineRule="atLeast"/>
        <w:jc w:val="center"/>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2016-2018年全区企业股</w:t>
      </w:r>
      <w:proofErr w:type="gramStart"/>
      <w:r w:rsidRPr="00B90561">
        <w:rPr>
          <w:rFonts w:ascii="宋体" w:eastAsia="宋体" w:hAnsi="宋体" w:cs="宋体" w:hint="eastAsia"/>
          <w:color w:val="333333"/>
          <w:kern w:val="0"/>
          <w:sz w:val="24"/>
          <w:szCs w:val="24"/>
          <w:shd w:val="clear" w:color="auto" w:fill="FFFFFF"/>
        </w:rPr>
        <w:t>改上市</w:t>
      </w:r>
      <w:proofErr w:type="gramEnd"/>
      <w:r w:rsidRPr="00B90561">
        <w:rPr>
          <w:rFonts w:ascii="宋体" w:eastAsia="宋体" w:hAnsi="宋体" w:cs="宋体" w:hint="eastAsia"/>
          <w:color w:val="333333"/>
          <w:kern w:val="0"/>
          <w:sz w:val="24"/>
          <w:szCs w:val="24"/>
          <w:shd w:val="clear" w:color="auto" w:fill="FFFFFF"/>
        </w:rPr>
        <w:t>挂牌任务分解表</w:t>
      </w:r>
    </w:p>
    <w:p w:rsidR="00B90561" w:rsidRPr="00B90561" w:rsidRDefault="00B90561" w:rsidP="00B90561">
      <w:pPr>
        <w:widowControl/>
        <w:spacing w:after="150" w:line="320" w:lineRule="atLeast"/>
        <w:jc w:val="righ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 </w:t>
      </w:r>
    </w:p>
    <w:p w:rsidR="00B90561" w:rsidRPr="00B90561" w:rsidRDefault="00B90561" w:rsidP="00B90561">
      <w:pPr>
        <w:widowControl/>
        <w:spacing w:after="150" w:line="320" w:lineRule="atLeast"/>
        <w:jc w:val="righ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单位：家</w:t>
      </w:r>
    </w:p>
    <w:p w:rsidR="00B90561" w:rsidRPr="00B90561" w:rsidRDefault="00B90561" w:rsidP="00B90561">
      <w:pPr>
        <w:widowControl/>
        <w:spacing w:after="150" w:line="525" w:lineRule="atLeast"/>
        <w:jc w:val="left"/>
        <w:rPr>
          <w:rFonts w:ascii="宋体" w:eastAsia="宋体" w:hAnsi="宋体" w:cs="宋体" w:hint="eastAsia"/>
          <w:color w:val="333333"/>
          <w:kern w:val="0"/>
          <w:sz w:val="24"/>
          <w:szCs w:val="24"/>
          <w:shd w:val="clear" w:color="auto" w:fill="FFFFFF"/>
        </w:rPr>
      </w:pPr>
      <w:r w:rsidRPr="00B90561">
        <w:rPr>
          <w:rFonts w:ascii="宋体" w:eastAsia="宋体" w:hAnsi="宋体" w:cs="宋体" w:hint="eastAsia"/>
          <w:color w:val="333333"/>
          <w:kern w:val="0"/>
          <w:sz w:val="24"/>
          <w:szCs w:val="24"/>
          <w:shd w:val="clear" w:color="auto" w:fill="FFFFFF"/>
        </w:rPr>
        <w:t> </w:t>
      </w:r>
    </w:p>
    <w:tbl>
      <w:tblPr>
        <w:tblW w:w="5000" w:type="pct"/>
        <w:jc w:val="center"/>
        <w:tblCellMar>
          <w:left w:w="0" w:type="dxa"/>
          <w:right w:w="0" w:type="dxa"/>
        </w:tblCellMar>
        <w:tblLook w:val="04A0" w:firstRow="1" w:lastRow="0" w:firstColumn="1" w:lastColumn="0" w:noHBand="0" w:noVBand="1"/>
      </w:tblPr>
      <w:tblGrid>
        <w:gridCol w:w="421"/>
        <w:gridCol w:w="1124"/>
        <w:gridCol w:w="822"/>
        <w:gridCol w:w="1425"/>
        <w:gridCol w:w="822"/>
        <w:gridCol w:w="1425"/>
        <w:gridCol w:w="822"/>
        <w:gridCol w:w="1425"/>
      </w:tblGrid>
      <w:tr w:rsidR="00B90561" w:rsidRPr="00B90561" w:rsidTr="00B90561">
        <w:trPr>
          <w:trHeight w:val="570"/>
          <w:jc w:val="center"/>
        </w:trPr>
        <w:tc>
          <w:tcPr>
            <w:tcW w:w="705"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序号</w:t>
            </w:r>
          </w:p>
        </w:tc>
        <w:tc>
          <w:tcPr>
            <w:tcW w:w="2385" w:type="dxa"/>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proofErr w:type="gramStart"/>
            <w:r w:rsidRPr="00B90561">
              <w:rPr>
                <w:rFonts w:ascii="微软雅黑" w:eastAsia="微软雅黑" w:hAnsi="微软雅黑" w:cs="宋体" w:hint="eastAsia"/>
                <w:kern w:val="0"/>
                <w:sz w:val="24"/>
                <w:szCs w:val="24"/>
              </w:rPr>
              <w:t>镇别</w:t>
            </w:r>
            <w:proofErr w:type="gramEnd"/>
          </w:p>
        </w:tc>
        <w:tc>
          <w:tcPr>
            <w:tcW w:w="4770"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2016年</w:t>
            </w:r>
          </w:p>
        </w:tc>
        <w:tc>
          <w:tcPr>
            <w:tcW w:w="4770"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2017年</w:t>
            </w:r>
          </w:p>
        </w:tc>
        <w:tc>
          <w:tcPr>
            <w:tcW w:w="4770"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2018年</w:t>
            </w:r>
          </w:p>
        </w:tc>
      </w:tr>
      <w:tr w:rsidR="00B90561" w:rsidRPr="00B90561" w:rsidTr="00B90561">
        <w:trPr>
          <w:trHeight w:val="390"/>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90561" w:rsidRPr="00B90561" w:rsidRDefault="00B90561" w:rsidP="00B90561">
            <w:pPr>
              <w:widowControl/>
              <w:jc w:val="left"/>
              <w:rPr>
                <w:rFonts w:ascii="微软雅黑" w:eastAsia="微软雅黑" w:hAnsi="微软雅黑" w:cs="宋体"/>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B90561" w:rsidRPr="00B90561" w:rsidRDefault="00B90561" w:rsidP="00B90561">
            <w:pPr>
              <w:widowControl/>
              <w:jc w:val="left"/>
              <w:rPr>
                <w:rFonts w:ascii="微软雅黑" w:eastAsia="微软雅黑" w:hAnsi="微软雅黑" w:cs="宋体"/>
                <w:kern w:val="0"/>
                <w:sz w:val="24"/>
                <w:szCs w:val="24"/>
              </w:rPr>
            </w:pP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新增股改任务</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新增上市和新三板挂牌任务</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新增股改任务</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新增上市和新三板挂牌任务</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新增股改任务</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新增上市和新三板挂牌任务</w:t>
            </w:r>
          </w:p>
        </w:tc>
      </w:tr>
      <w:tr w:rsidR="00B90561" w:rsidRPr="00B90561" w:rsidTr="00B90561">
        <w:trPr>
          <w:trHeight w:val="555"/>
          <w:jc w:val="center"/>
        </w:trPr>
        <w:tc>
          <w:tcPr>
            <w:tcW w:w="705"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经开区</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11</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6</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7</w:t>
            </w:r>
          </w:p>
        </w:tc>
      </w:tr>
      <w:tr w:rsidR="00B90561" w:rsidRPr="00B90561" w:rsidTr="00B90561">
        <w:trPr>
          <w:trHeight w:val="55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B90561" w:rsidRPr="00B90561" w:rsidRDefault="00B90561" w:rsidP="00B90561">
            <w:pPr>
              <w:widowControl/>
              <w:jc w:val="left"/>
              <w:rPr>
                <w:rFonts w:ascii="微软雅黑" w:eastAsia="微软雅黑" w:hAnsi="微软雅黑" w:cs="宋体"/>
                <w:kern w:val="0"/>
                <w:sz w:val="24"/>
                <w:szCs w:val="24"/>
              </w:rPr>
            </w:pP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left"/>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其中：横林镇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B90561" w:rsidRPr="00B90561" w:rsidRDefault="00B90561" w:rsidP="00B90561">
            <w:pPr>
              <w:widowControl/>
              <w:jc w:val="left"/>
              <w:rPr>
                <w:rFonts w:ascii="微软雅黑" w:eastAsia="微软雅黑" w:hAnsi="微软雅黑" w:cs="宋体"/>
                <w:kern w:val="0"/>
                <w:sz w:val="24"/>
                <w:szCs w:val="24"/>
              </w:rPr>
            </w:pP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ind w:firstLine="630"/>
              <w:jc w:val="left"/>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遥观镇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B90561" w:rsidRPr="00B90561" w:rsidRDefault="00B90561" w:rsidP="00B90561">
            <w:pPr>
              <w:widowControl/>
              <w:jc w:val="left"/>
              <w:rPr>
                <w:rFonts w:ascii="微软雅黑" w:eastAsia="微软雅黑" w:hAnsi="微软雅黑" w:cs="宋体"/>
                <w:kern w:val="0"/>
                <w:sz w:val="24"/>
                <w:szCs w:val="24"/>
              </w:rPr>
            </w:pP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ind w:firstLine="630"/>
              <w:jc w:val="left"/>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横山桥镇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23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高新区（含科教城）</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11</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6</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8</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8</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西太湖</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7</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9</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6</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11</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6</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4</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proofErr w:type="gramStart"/>
            <w:r w:rsidRPr="00B90561">
              <w:rPr>
                <w:rFonts w:ascii="微软雅黑" w:eastAsia="微软雅黑" w:hAnsi="微软雅黑" w:cs="宋体" w:hint="eastAsia"/>
                <w:kern w:val="0"/>
                <w:sz w:val="24"/>
                <w:szCs w:val="24"/>
              </w:rPr>
              <w:t>雪堰镇</w:t>
            </w:r>
            <w:proofErr w:type="gramEnd"/>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5</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礼嘉镇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6</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前黄镇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7</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湖塘镇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3</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8</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proofErr w:type="gramStart"/>
            <w:r w:rsidRPr="00B90561">
              <w:rPr>
                <w:rFonts w:ascii="微软雅黑" w:eastAsia="微软雅黑" w:hAnsi="微软雅黑" w:cs="宋体" w:hint="eastAsia"/>
                <w:kern w:val="0"/>
                <w:sz w:val="24"/>
                <w:szCs w:val="24"/>
              </w:rPr>
              <w:t>牛塘镇</w:t>
            </w:r>
            <w:proofErr w:type="gramEnd"/>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9</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洛阳镇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10</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proofErr w:type="gramStart"/>
            <w:r w:rsidRPr="00B90561">
              <w:rPr>
                <w:rFonts w:ascii="微软雅黑" w:eastAsia="微软雅黑" w:hAnsi="微软雅黑" w:cs="宋体" w:hint="eastAsia"/>
                <w:kern w:val="0"/>
                <w:sz w:val="24"/>
                <w:szCs w:val="24"/>
              </w:rPr>
              <w:t>湟</w:t>
            </w:r>
            <w:proofErr w:type="gramEnd"/>
            <w:r w:rsidRPr="00B90561">
              <w:rPr>
                <w:rFonts w:ascii="微软雅黑" w:eastAsia="微软雅黑" w:hAnsi="微软雅黑" w:cs="宋体" w:hint="eastAsia"/>
                <w:kern w:val="0"/>
                <w:sz w:val="24"/>
                <w:szCs w:val="24"/>
              </w:rPr>
              <w:t>里镇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11</w:t>
            </w:r>
          </w:p>
        </w:tc>
        <w:tc>
          <w:tcPr>
            <w:tcW w:w="23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嘉泽镇</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w:t>
            </w:r>
          </w:p>
        </w:tc>
      </w:tr>
      <w:tr w:rsidR="00B90561" w:rsidRPr="00B90561" w:rsidTr="00B90561">
        <w:trPr>
          <w:trHeight w:val="555"/>
          <w:jc w:val="center"/>
        </w:trPr>
        <w:tc>
          <w:tcPr>
            <w:tcW w:w="70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 xml:space="preserve">　</w:t>
            </w:r>
          </w:p>
        </w:tc>
        <w:tc>
          <w:tcPr>
            <w:tcW w:w="23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合    计</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46</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12</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50</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28</w:t>
            </w:r>
          </w:p>
        </w:tc>
        <w:tc>
          <w:tcPr>
            <w:tcW w:w="166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54</w:t>
            </w:r>
          </w:p>
        </w:tc>
        <w:tc>
          <w:tcPr>
            <w:tcW w:w="31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90561" w:rsidRPr="00B90561" w:rsidRDefault="00B90561" w:rsidP="00B90561">
            <w:pPr>
              <w:widowControl/>
              <w:spacing w:after="150" w:line="360" w:lineRule="atLeast"/>
              <w:jc w:val="center"/>
              <w:rPr>
                <w:rFonts w:ascii="微软雅黑" w:eastAsia="微软雅黑" w:hAnsi="微软雅黑" w:cs="宋体" w:hint="eastAsia"/>
                <w:kern w:val="0"/>
                <w:sz w:val="24"/>
                <w:szCs w:val="24"/>
              </w:rPr>
            </w:pPr>
            <w:r w:rsidRPr="00B90561">
              <w:rPr>
                <w:rFonts w:ascii="微软雅黑" w:eastAsia="微软雅黑" w:hAnsi="微软雅黑" w:cs="宋体" w:hint="eastAsia"/>
                <w:kern w:val="0"/>
                <w:sz w:val="24"/>
                <w:szCs w:val="24"/>
              </w:rPr>
              <w:t>29</w:t>
            </w:r>
          </w:p>
        </w:tc>
      </w:tr>
    </w:tbl>
    <w:p w:rsidR="00B90561" w:rsidRPr="00B90561" w:rsidRDefault="00B90561" w:rsidP="00B90561">
      <w:pPr>
        <w:widowControl/>
        <w:jc w:val="left"/>
        <w:rPr>
          <w:rFonts w:ascii="微软雅黑" w:eastAsia="微软雅黑" w:hAnsi="微软雅黑" w:cs="宋体" w:hint="eastAsia"/>
          <w:color w:val="333333"/>
          <w:kern w:val="0"/>
          <w:sz w:val="24"/>
          <w:szCs w:val="24"/>
          <w:shd w:val="clear" w:color="auto" w:fill="FFFFFF"/>
        </w:rPr>
      </w:pPr>
      <w:r w:rsidRPr="00B90561">
        <w:rPr>
          <w:rFonts w:ascii="微软雅黑" w:eastAsia="微软雅黑" w:hAnsi="微软雅黑" w:cs="宋体" w:hint="eastAsia"/>
          <w:color w:val="333333"/>
          <w:kern w:val="0"/>
          <w:sz w:val="24"/>
          <w:szCs w:val="24"/>
          <w:shd w:val="clear" w:color="auto" w:fill="FFFFFF"/>
        </w:rPr>
        <w:t> </w:t>
      </w:r>
    </w:p>
    <w:p w:rsidR="00845F42" w:rsidRPr="00011B12" w:rsidRDefault="00845F42" w:rsidP="002D6853">
      <w:pPr>
        <w:rPr>
          <w:rFonts w:hint="eastAsia"/>
        </w:rPr>
      </w:pPr>
    </w:p>
    <w:sectPr w:rsidR="00845F42" w:rsidRPr="00011B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70"/>
    <w:rsid w:val="00011B12"/>
    <w:rsid w:val="002D6853"/>
    <w:rsid w:val="002E2E38"/>
    <w:rsid w:val="00582012"/>
    <w:rsid w:val="00845F42"/>
    <w:rsid w:val="009F5E70"/>
    <w:rsid w:val="00A71CBB"/>
    <w:rsid w:val="00B90561"/>
    <w:rsid w:val="00EC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1795D-1992-4DE7-8A0C-B980E5FB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E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5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4877">
      <w:bodyDiv w:val="1"/>
      <w:marLeft w:val="0"/>
      <w:marRight w:val="0"/>
      <w:marTop w:val="0"/>
      <w:marBottom w:val="0"/>
      <w:divBdr>
        <w:top w:val="none" w:sz="0" w:space="0" w:color="auto"/>
        <w:left w:val="none" w:sz="0" w:space="0" w:color="auto"/>
        <w:bottom w:val="none" w:sz="0" w:space="0" w:color="auto"/>
        <w:right w:val="none" w:sz="0" w:space="0" w:color="auto"/>
      </w:divBdr>
    </w:div>
    <w:div w:id="378361445">
      <w:bodyDiv w:val="1"/>
      <w:marLeft w:val="0"/>
      <w:marRight w:val="0"/>
      <w:marTop w:val="0"/>
      <w:marBottom w:val="0"/>
      <w:divBdr>
        <w:top w:val="none" w:sz="0" w:space="0" w:color="auto"/>
        <w:left w:val="none" w:sz="0" w:space="0" w:color="auto"/>
        <w:bottom w:val="none" w:sz="0" w:space="0" w:color="auto"/>
        <w:right w:val="none" w:sz="0" w:space="0" w:color="auto"/>
      </w:divBdr>
      <w:divsChild>
        <w:div w:id="805046841">
          <w:marLeft w:val="0"/>
          <w:marRight w:val="0"/>
          <w:marTop w:val="0"/>
          <w:marBottom w:val="0"/>
          <w:divBdr>
            <w:top w:val="single" w:sz="8" w:space="1" w:color="auto"/>
            <w:left w:val="none" w:sz="0" w:space="0" w:color="auto"/>
            <w:bottom w:val="single" w:sz="8" w:space="3" w:color="auto"/>
            <w:right w:val="none" w:sz="0" w:space="0" w:color="auto"/>
          </w:divBdr>
        </w:div>
        <w:div w:id="1240212183">
          <w:marLeft w:val="0"/>
          <w:marRight w:val="0"/>
          <w:marTop w:val="0"/>
          <w:marBottom w:val="0"/>
          <w:divBdr>
            <w:top w:val="none" w:sz="0" w:space="0" w:color="auto"/>
            <w:left w:val="none" w:sz="0" w:space="0" w:color="auto"/>
            <w:bottom w:val="single" w:sz="8" w:space="1" w:color="auto"/>
            <w:right w:val="none" w:sz="0" w:space="0" w:color="auto"/>
          </w:divBdr>
        </w:div>
        <w:div w:id="1994794574">
          <w:marLeft w:val="0"/>
          <w:marRight w:val="0"/>
          <w:marTop w:val="0"/>
          <w:marBottom w:val="0"/>
          <w:divBdr>
            <w:top w:val="none" w:sz="0" w:space="0" w:color="auto"/>
            <w:left w:val="none" w:sz="0" w:space="0" w:color="auto"/>
            <w:bottom w:val="none" w:sz="0" w:space="0" w:color="auto"/>
            <w:right w:val="none" w:sz="0" w:space="0" w:color="auto"/>
          </w:divBdr>
        </w:div>
      </w:divsChild>
    </w:div>
    <w:div w:id="641883343">
      <w:bodyDiv w:val="1"/>
      <w:marLeft w:val="0"/>
      <w:marRight w:val="0"/>
      <w:marTop w:val="0"/>
      <w:marBottom w:val="0"/>
      <w:divBdr>
        <w:top w:val="none" w:sz="0" w:space="0" w:color="auto"/>
        <w:left w:val="none" w:sz="0" w:space="0" w:color="auto"/>
        <w:bottom w:val="none" w:sz="0" w:space="0" w:color="auto"/>
        <w:right w:val="none" w:sz="0" w:space="0" w:color="auto"/>
      </w:divBdr>
    </w:div>
    <w:div w:id="947855421">
      <w:bodyDiv w:val="1"/>
      <w:marLeft w:val="0"/>
      <w:marRight w:val="0"/>
      <w:marTop w:val="0"/>
      <w:marBottom w:val="0"/>
      <w:divBdr>
        <w:top w:val="none" w:sz="0" w:space="0" w:color="auto"/>
        <w:left w:val="none" w:sz="0" w:space="0" w:color="auto"/>
        <w:bottom w:val="none" w:sz="0" w:space="0" w:color="auto"/>
        <w:right w:val="none" w:sz="0" w:space="0" w:color="auto"/>
      </w:divBdr>
    </w:div>
    <w:div w:id="1087118751">
      <w:bodyDiv w:val="1"/>
      <w:marLeft w:val="0"/>
      <w:marRight w:val="0"/>
      <w:marTop w:val="0"/>
      <w:marBottom w:val="0"/>
      <w:divBdr>
        <w:top w:val="none" w:sz="0" w:space="0" w:color="auto"/>
        <w:left w:val="none" w:sz="0" w:space="0" w:color="auto"/>
        <w:bottom w:val="none" w:sz="0" w:space="0" w:color="auto"/>
        <w:right w:val="none" w:sz="0" w:space="0" w:color="auto"/>
      </w:divBdr>
    </w:div>
    <w:div w:id="1324166600">
      <w:bodyDiv w:val="1"/>
      <w:marLeft w:val="0"/>
      <w:marRight w:val="0"/>
      <w:marTop w:val="0"/>
      <w:marBottom w:val="0"/>
      <w:divBdr>
        <w:top w:val="none" w:sz="0" w:space="0" w:color="auto"/>
        <w:left w:val="none" w:sz="0" w:space="0" w:color="auto"/>
        <w:bottom w:val="none" w:sz="0" w:space="0" w:color="auto"/>
        <w:right w:val="none" w:sz="0" w:space="0" w:color="auto"/>
      </w:divBdr>
    </w:div>
    <w:div w:id="19168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2018-05-07T02:06:00Z</dcterms:created>
  <dcterms:modified xsi:type="dcterms:W3CDTF">2018-05-07T02:06:00Z</dcterms:modified>
</cp:coreProperties>
</file>