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line="390" w:lineRule="atLeast"/>
              <w:ind w:left="0" w:right="0" w:firstLine="0"/>
              <w:jc w:val="center"/>
              <w:rPr>
                <w:rFonts w:ascii="微软雅黑" w:hAnsi="微软雅黑" w:eastAsia="微软雅黑" w:cs="微软雅黑"/>
                <w:b/>
                <w:i w:val="0"/>
                <w:caps w:val="0"/>
                <w:color w:val="D20000"/>
                <w:spacing w:val="0"/>
                <w:sz w:val="26"/>
                <w:szCs w:val="26"/>
              </w:rPr>
            </w:pPr>
            <w:bookmarkStart w:id="0" w:name="_GoBack"/>
            <w:r>
              <w:rPr>
                <w:rFonts w:hint="eastAsia" w:ascii="微软雅黑" w:hAnsi="微软雅黑" w:eastAsia="微软雅黑" w:cs="微软雅黑"/>
                <w:b/>
                <w:i w:val="0"/>
                <w:caps w:val="0"/>
                <w:color w:val="D20000"/>
                <w:spacing w:val="0"/>
                <w:kern w:val="0"/>
                <w:sz w:val="26"/>
                <w:szCs w:val="26"/>
                <w:bdr w:val="none" w:color="auto" w:sz="0" w:space="0"/>
                <w:lang w:val="en-US" w:eastAsia="zh-CN" w:bidi="ar"/>
              </w:rPr>
              <w:t>县政府关于推动高新技术产业跨越发展的实施意见</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tbl>
            <w:tblPr>
              <w:tblW w:w="10500" w:type="dxa"/>
              <w:jc w:val="center"/>
              <w:tblCellSpacing w:w="0" w:type="dxa"/>
              <w:tblInd w:w="42" w:type="dxa"/>
              <w:shd w:val="clear" w:color="auto" w:fill="E4F0F3"/>
              <w:tblLayout w:type="fixed"/>
              <w:tblCellMar>
                <w:top w:w="0" w:type="dxa"/>
                <w:left w:w="0" w:type="dxa"/>
                <w:bottom w:w="0" w:type="dxa"/>
                <w:right w:w="0" w:type="dxa"/>
              </w:tblCellMar>
            </w:tblPr>
            <w:tblGrid>
              <w:gridCol w:w="1200"/>
              <w:gridCol w:w="902"/>
              <w:gridCol w:w="1352"/>
              <w:gridCol w:w="675"/>
              <w:gridCol w:w="2775"/>
              <w:gridCol w:w="1982"/>
              <w:gridCol w:w="1614"/>
            </w:tblGrid>
            <w:tr>
              <w:tblPrEx>
                <w:shd w:val="clear" w:color="auto" w:fill="E4F0F3"/>
                <w:tblLayout w:type="fixed"/>
                <w:tblCellMar>
                  <w:top w:w="0" w:type="dxa"/>
                  <w:left w:w="0" w:type="dxa"/>
                  <w:bottom w:w="0" w:type="dxa"/>
                  <w:right w:w="0" w:type="dxa"/>
                </w:tblCellMar>
              </w:tblPrEx>
              <w:trPr>
                <w:tblCellSpacing w:w="0" w:type="dxa"/>
                <w:jc w:val="center"/>
              </w:trPr>
              <w:tc>
                <w:tcPr>
                  <w:tcW w:w="120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0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5"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3"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4"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675"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775"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61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b/>
                <w:i w:val="0"/>
                <w:caps w:val="0"/>
                <w:color w:val="333333"/>
                <w:spacing w:val="0"/>
                <w:kern w:val="0"/>
                <w:sz w:val="18"/>
                <w:szCs w:val="18"/>
                <w:bdr w:val="none" w:color="auto" w:sz="0" w:space="0"/>
                <w:lang w:val="en-US" w:eastAsia="zh-CN" w:bidi="ar"/>
              </w:rPr>
              <w:t>县政府关于推动高新技术产业跨越发展的实施意见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丰政发〔2012〕85号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各镇人民政府，县经济开发区管委会，县各委、办、局，县各直属单位：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为贯彻落实《江苏省科学技术进步条例》、《江苏省“十二五”科技发展规划》，深入实施科教与人才强县战略、创新驱动核心战略，加速培育创新型领军企业、高新技术企业、民营科技企业，扩大科技投入，提高区域创新能力，结合国家、省、市科技工作会议精神，就加快推进我县高新技术产业跨越发展提出如下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一、高标准建设科技企业孵化器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科技企业孵化器是以促进科技成果转化、培养高新技术企业和企业家为宗旨的科技创业服务载体。孵化器是国家创新体系的重要组成部分，是创新创业人才培养基地，是区域创新体系的重要内容。在丰县高新技术产业园区内，按照国家级科技企业孵化器标准，建设9万㎡科技企业孵化器(丰县高新技术创业中心)，以孵化创新型领军企业、高新技术企业、科技型企业，吸引高层次人才来我县创新创业，有效地转化科技成果，示范引领我县科技进步，提高区域创新能力，为发展我县高新技术产业和传统产业提档升级提供有力支撑，形成高新技术产业发展的长效机制。借鉴先进地区成功经验，组建丰县高新技术创业有限公司，以入驻科技型创业企业（以下简称在孵企业）为服务对象，通过开展创业培训、辅导、咨询，提供研发、试制、经营的场地和共享设施，以及提供政策、法律、财务、投融资、企业管理、人力资源、市场推广和加速成长等方面的服务，降低企业创业风险和创业成本，提高企业的成活率和成长性，培养成功的科技企业和企业家。科技企业孵化器内在孵高新技术企业，视其产品研发情况，3年内给予免租金、租金减半或租金补贴。从认定之日起3年内，按照税收级次，其交纳的营业税、企业所得税、增值税地方留成部分，由受益财政全额返还作为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二、设立丰县高新技术创业风险基金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依据国务院《关于创业投资引导基金规范设立与运行指导意见的通知》（国办发〔2008〕116号），县政府设立丰县高新技术创业风险基金，作为高新技术产业发展种子基金，投资于高新技术创业企业研究与发展阶段，暂定每年500万元额度，用以支持科技企业孵化器建设，支持高层次人才创新创业项目。风险基金的运作方式包括参股、跟进投资或其他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三、设立丰县高新技术成果转化风险补偿基金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依据江苏省人民政府《关于加快促进科技与金融结合的意见》和江苏省财政厅、江苏省科学技术厅《关于印发&lt;江苏省科技成果转化风险补偿专项资金暂行管理办法&gt;的通知》(苏财教〔2009〕178号)，设立丰县高新技术成果转化风险补偿基金，暂定1000万元，引导金融机构支持丰县高新技术产业园建设，主要为丰县高新技术园区内企业融资担保。风险补偿资金重点用于补偿协作银行在支持科技型小企业具有自主知识产权的科技成果产业化过程中所发生的贷款损失。风险补偿资金作为信用保障资金，以引导协作银行或者科技贷款公司向企业发放项目贷款的方式支持科技型小企业发展。协作银行或者科技贷款公司的授信贷款用于扶持县高新技术与新兴产业的小企业成果转化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四、落实科技税收优惠政策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强化高新技术产业企业的科技创新主体地位，鼓励企业加大创新投入，不断增强自主创新能力，提高科技成果应用转化能力。根据《江苏省国家税务局转发〈国家税务总局关于印发〈企业研究开发费用税前扣除管理办法（试行）〉的通知〉的通知》（苏国税发〔2009〕41号）、《江苏省地方税务局关于印发〈江苏省企业研究开发费用税前加计扣除管理办法（试行）〉的通知》（苏地税发〔2009〕6号）规定，允许企业按当年实际发生技术开发费用的150%抵扣当年应纳税所得额；实际发生技术开发费用当年抵扣不足部分，可按税法规定在5年内结转抵扣。按照《高新技术企业认定管理办法》，经有权部门认定的高新技术企业，所得税可以减按15%计征；经有权部门认定的软件企业按17%的法定税率征收增值税后，对其增值税实际税负超过3%的部分实行即征即返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五、加大高新技术产业发展奖励力度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加大高新技术企业的培育奖励力度，县政府每年对新认定1家省级高新技术企业，奖励培育主管镇、开发区或单位5万元，奖励企业10万元；新认定1家国家级高新技术企业，奖励培育主管镇、开发区或单位10万元，奖励企业20万元；新增1家高新技术列统企业，奖励培育主管部门5万元，奖励企业5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六、给予知识产权创造与运用专项资金支持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个人每申请一项发明专利，资助3000元，申请一项实用新型专利，资助500元，申请一项外观设计专利，资助300元；企业每申请一项发明专利，资助3800元，申请一项实用新型专利，资助1200元，申请一项外观设计专利，资助400元。每授权一项专利，授权费用由县知识产权局负责统一缴费，资助和授权缴费资金从县科技三项经费中列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七、加强组织保障体系建设。一是加强组织领导。县高新技术产业发展领导小组统筹协调高新技术产业发展工作，领导小组下设办公室，办公地点在县科技局。各镇、开发区也要建立相应的组织机构，指导和推动本地区高新技术产业发展工作。二是加强工作指导和服务。各镇、开发区、各有关单位要主动为企业服务，辅导企业加强内部管理、财务管理，指导企业开展高新技术企业认定、开展技术开发，宣传科技优惠政策等。三是强化目标考核。县政府制定并下发目标考核任务指标，并对各镇、开发区、各单位任务完成情况逐月调度，年末进行考核评比，对表现突出的镇、单位和个人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丰县人民政府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2012年8月13日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bl>
    <w:p>
      <w:pPr>
        <w:rPr>
          <w:rFonts w:hint="eastAsia" w:asciiTheme="minorEastAsia" w:hAnsiTheme="minorEastAsia" w:eastAsiaTheme="minorEastAsia" w:cstheme="minorEastAsia"/>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EFF" w:usb1="C0007843" w:usb2="00000009" w:usb3="00000000" w:csb0="400001FF" w:csb1="FFFF0000"/>
  </w:font>
  <w:font w:name="方正仿宋_gbk">
    <w:altName w:val="仿宋"/>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835E6"/>
    <w:rsid w:val="0BF80A93"/>
    <w:rsid w:val="0E867729"/>
    <w:rsid w:val="13973DBD"/>
    <w:rsid w:val="231E5FDF"/>
    <w:rsid w:val="34E55D73"/>
    <w:rsid w:val="3BBD2AD3"/>
    <w:rsid w:val="3C2B792D"/>
    <w:rsid w:val="45932AB7"/>
    <w:rsid w:val="48E721F7"/>
    <w:rsid w:val="5F5B6208"/>
    <w:rsid w:val="62C835E6"/>
    <w:rsid w:val="655F4C39"/>
    <w:rsid w:val="67747877"/>
    <w:rsid w:val="6EB0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2018-06-04T02:02:00Z</dcterms:created>
  <dc:creator>栾晓琴</dc:creator>
  <cp:lastModifiedBy>栾晓琴</cp:lastModifiedBy>
  <dcterms:modified xsi:type="dcterms:W3CDTF">2018-06-04T03:20:39Z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