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连城县人民政府关于加快现代服务业发展若干政策措施的通知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"http://xxgk.longyan.gov.cn/srmzf/zfxxgkml/02/05/201710/javascript:fontZoomC();"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"http://xxgk.longyan.gov.cn/srmzf/zfxxgkml/02/05/201710/javascript:fontZoomB();"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"http://xxgk.longyan.gov.cn/srmzf/zfxxgkml/02/05/201710/javascript:fontZoomA();"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各乡（镇）人民政府，县直各有关单位：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default" w:ascii="Times New Roman" w:hAnsi="Times New Roman" w:eastAsia="宋体" w:cs="Times New Roman"/>
                <w:b w:val="0"/>
                <w:i w:val="0"/>
                <w:caps w:val="0"/>
                <w:color w:val="333333"/>
                <w:spacing w:val="0"/>
                <w:sz w:val="21"/>
                <w:szCs w:val="21"/>
                <w:bdr w:val="none" w:color="auto" w:sz="0" w:space="0"/>
              </w:rPr>
              <w:t>根据《龙岩市人民政府关于加快现代服务业发展十五条政策措施的通知》（龙政综〔</w:t>
            </w:r>
            <w:r>
              <w:rPr>
                <w:rFonts w:hint="default" w:ascii="Times New Roman" w:hAnsi="Times New Roman" w:eastAsia="宋体" w:cs="Times New Roman"/>
                <w:b w:val="0"/>
                <w:i w:val="0"/>
                <w:caps w:val="0"/>
                <w:color w:val="333333"/>
                <w:spacing w:val="0"/>
                <w:sz w:val="21"/>
                <w:szCs w:val="21"/>
                <w:bdr w:val="none" w:color="auto" w:sz="0" w:space="0"/>
                <w:lang w:val="en-US"/>
              </w:rPr>
              <w:t>2017</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135</w:t>
            </w:r>
            <w:r>
              <w:rPr>
                <w:rFonts w:hint="default" w:ascii="Times New Roman" w:hAnsi="Times New Roman" w:eastAsia="宋体" w:cs="Times New Roman"/>
                <w:b w:val="0"/>
                <w:i w:val="0"/>
                <w:caps w:val="0"/>
                <w:color w:val="333333"/>
                <w:spacing w:val="0"/>
                <w:sz w:val="21"/>
                <w:szCs w:val="21"/>
                <w:bdr w:val="none" w:color="auto" w:sz="0" w:space="0"/>
              </w:rPr>
              <w:t>号）（以下简称“市十五条”）精神，为加快我县现代服务业的提速和创新发展，提升壮大服务业综合实力，结合我县实际，现制定如下政策措施。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一、商贸流通业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（一）积极培育限额以上企业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月度新增限额以上商贸企业，企业统计报表基础资料完整，给予每家企业奖励</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万元。同时，给予企业的统计报表具体报送人一次性奖励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年度新增限额以上商贸企业，次年增速达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及以上，（批发企业中有零售部分的增速要达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及以上，住宿餐饮企业中的餐费收入和商品销售额合计增速要达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及以上），企业统计报表基础资料完整，给予每家企业奖励</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万元。同时，给予企业的统计报表具体报送人一次性奖励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（二）做大做强已在库限上法人企业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．批发企业。年商品销售额</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亿元以上且增速达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及以上的（批发中有零售部分的零售额增速要达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万元；年商品销售额</w:t>
            </w:r>
            <w:r>
              <w:rPr>
                <w:rFonts w:hint="default" w:ascii="Times New Roman" w:hAnsi="Times New Roman" w:eastAsia="宋体" w:cs="Times New Roman"/>
                <w:b w:val="0"/>
                <w:i w:val="0"/>
                <w:caps w:val="0"/>
                <w:color w:val="333333"/>
                <w:spacing w:val="0"/>
                <w:sz w:val="21"/>
                <w:szCs w:val="21"/>
                <w:bdr w:val="none" w:color="auto" w:sz="0" w:space="0"/>
                <w:lang w:val="en-US"/>
              </w:rPr>
              <w:t>0.3</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亿元且增速达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及以上的（批发中有零售部分的零售额增速也须达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万元。同时，给予以上企业的统计报表具体报送人员一次性奖励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．零售企业。年商品销售额</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万元以上且增速达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万元；年商品销售额</w:t>
            </w:r>
            <w:r>
              <w:rPr>
                <w:rFonts w:hint="default" w:ascii="Times New Roman" w:hAnsi="Times New Roman" w:eastAsia="宋体" w:cs="Times New Roman"/>
                <w:b w:val="0"/>
                <w:i w:val="0"/>
                <w:caps w:val="0"/>
                <w:color w:val="333333"/>
                <w:spacing w:val="0"/>
                <w:sz w:val="21"/>
                <w:szCs w:val="21"/>
                <w:bdr w:val="none" w:color="auto" w:sz="0" w:space="0"/>
                <w:lang w:val="en-US"/>
              </w:rPr>
              <w:t>1000</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万元。同时，给予以上企业的统计报表具体报送人员一次性奖励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．住宿餐饮企业。年营业额</w:t>
            </w:r>
            <w:r>
              <w:rPr>
                <w:rFonts w:hint="default" w:ascii="Times New Roman" w:hAnsi="Times New Roman" w:eastAsia="宋体" w:cs="Times New Roman"/>
                <w:b w:val="0"/>
                <w:i w:val="0"/>
                <w:caps w:val="0"/>
                <w:color w:val="333333"/>
                <w:spacing w:val="0"/>
                <w:sz w:val="21"/>
                <w:szCs w:val="21"/>
                <w:bdr w:val="none" w:color="auto" w:sz="0" w:space="0"/>
                <w:lang w:val="en-US"/>
              </w:rPr>
              <w:t>1000</w:t>
            </w:r>
            <w:r>
              <w:rPr>
                <w:rFonts w:hint="default" w:ascii="Times New Roman" w:hAnsi="Times New Roman" w:eastAsia="宋体" w:cs="Times New Roman"/>
                <w:b w:val="0"/>
                <w:i w:val="0"/>
                <w:caps w:val="0"/>
                <w:color w:val="333333"/>
                <w:spacing w:val="0"/>
                <w:sz w:val="21"/>
                <w:szCs w:val="21"/>
                <w:bdr w:val="none" w:color="auto" w:sz="0" w:space="0"/>
              </w:rPr>
              <w:t>万元以上且增速达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及以上（其中餐费收入和商品销售额合计增速要达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万元；年营业额</w:t>
            </w:r>
            <w:r>
              <w:rPr>
                <w:rFonts w:hint="default" w:ascii="Times New Roman" w:hAnsi="Times New Roman" w:eastAsia="宋体" w:cs="Times New Roman"/>
                <w:b w:val="0"/>
                <w:i w:val="0"/>
                <w:caps w:val="0"/>
                <w:color w:val="333333"/>
                <w:spacing w:val="0"/>
                <w:sz w:val="21"/>
                <w:szCs w:val="21"/>
                <w:bdr w:val="none" w:color="auto" w:sz="0" w:space="0"/>
                <w:lang w:val="en-US"/>
              </w:rPr>
              <w:t>500</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1000</w:t>
            </w:r>
            <w:r>
              <w:rPr>
                <w:rFonts w:hint="default" w:ascii="Times New Roman" w:hAnsi="Times New Roman" w:eastAsia="宋体" w:cs="Times New Roman"/>
                <w:b w:val="0"/>
                <w:i w:val="0"/>
                <w:caps w:val="0"/>
                <w:color w:val="333333"/>
                <w:spacing w:val="0"/>
                <w:sz w:val="21"/>
                <w:szCs w:val="21"/>
                <w:bdr w:val="none" w:color="auto" w:sz="0" w:space="0"/>
              </w:rPr>
              <w:t>万元且增速达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及以上的（其中的餐费收入和商品销售额合计增速也须达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万元。同时，给予以上企业的统计报表具体报送人员一次性奖励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（三）鼓励扶持大中型龙头骨干销售企业发展</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．月度新增限额以上的批发企业当年商品销售额达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亿元及以上，零售企业当年商品销售额达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万元及以上，企业统计报表基础资料完整，给予企业扶持资金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15</w:t>
            </w:r>
            <w:r>
              <w:rPr>
                <w:rFonts w:hint="default" w:ascii="Times New Roman" w:hAnsi="Times New Roman" w:eastAsia="宋体" w:cs="Times New Roman"/>
                <w:b w:val="0"/>
                <w:i w:val="0"/>
                <w:caps w:val="0"/>
                <w:color w:val="333333"/>
                <w:spacing w:val="0"/>
                <w:sz w:val="21"/>
                <w:szCs w:val="21"/>
                <w:bdr w:val="none" w:color="auto" w:sz="0" w:space="0"/>
              </w:rPr>
              <w:t>万元；批发企业当年商品销售额达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亿元及以上，零售企业当年商品销售额达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亿元及以上的，给予企业扶持资金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20</w:t>
            </w:r>
            <w:r>
              <w:rPr>
                <w:rFonts w:hint="default" w:ascii="Times New Roman" w:hAnsi="Times New Roman" w:eastAsia="宋体" w:cs="Times New Roman"/>
                <w:b w:val="0"/>
                <w:i w:val="0"/>
                <w:caps w:val="0"/>
                <w:color w:val="333333"/>
                <w:spacing w:val="0"/>
                <w:sz w:val="21"/>
                <w:szCs w:val="21"/>
                <w:bdr w:val="none" w:color="auto" w:sz="0" w:space="0"/>
              </w:rPr>
              <w:t>万元，给予以上企业的统计报表具体报送人员一次性奖励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．年度新增限额以上的批发企业次年商品销售额达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亿元及以上，零售企业次年商品销售额达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万元及以上，企业统计报表基础资料完整，给予</w:t>
            </w:r>
            <w:r>
              <w:rPr>
                <w:rFonts w:hint="default" w:ascii="Times New Roman" w:hAnsi="Times New Roman" w:eastAsia="宋体" w:cs="Times New Roman"/>
                <w:b w:val="0"/>
                <w:i w:val="0"/>
                <w:caps w:val="0"/>
                <w:color w:val="333333"/>
                <w:spacing w:val="0"/>
                <w:sz w:val="21"/>
                <w:szCs w:val="21"/>
                <w:bdr w:val="none" w:color="auto" w:sz="0" w:space="0"/>
                <w:lang w:val="en-US"/>
              </w:rPr>
              <w:t>15</w:t>
            </w:r>
            <w:r>
              <w:rPr>
                <w:rFonts w:hint="default" w:ascii="Times New Roman" w:hAnsi="Times New Roman" w:eastAsia="宋体" w:cs="Times New Roman"/>
                <w:b w:val="0"/>
                <w:i w:val="0"/>
                <w:caps w:val="0"/>
                <w:color w:val="333333"/>
                <w:spacing w:val="0"/>
                <w:sz w:val="21"/>
                <w:szCs w:val="21"/>
                <w:bdr w:val="none" w:color="auto" w:sz="0" w:space="0"/>
              </w:rPr>
              <w:t>万元的资金扶持；批发企业次年商品销售额达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亿元及以上，零售企业次年商品销售额达</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亿元及以上的，给予企业扶持资金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20</w:t>
            </w:r>
            <w:r>
              <w:rPr>
                <w:rFonts w:hint="default" w:ascii="Times New Roman" w:hAnsi="Times New Roman" w:eastAsia="宋体" w:cs="Times New Roman"/>
                <w:b w:val="0"/>
                <w:i w:val="0"/>
                <w:caps w:val="0"/>
                <w:color w:val="333333"/>
                <w:spacing w:val="0"/>
                <w:sz w:val="21"/>
                <w:szCs w:val="21"/>
                <w:bdr w:val="none" w:color="auto" w:sz="0" w:space="0"/>
              </w:rPr>
              <w:t>万元，给予以上企业的统计报表具体报送人员一次性奖励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．上述扶持资金分三年兑现，达标当年兑现</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的扶持资金；次年商品销售额比上年增长</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及以上的（批发中有零售部分的零售额增速也须达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及以上），再兑现</w:t>
            </w:r>
            <w:r>
              <w:rPr>
                <w:rFonts w:hint="default" w:ascii="Times New Roman" w:hAnsi="Times New Roman" w:eastAsia="宋体" w:cs="Times New Roman"/>
                <w:b w:val="0"/>
                <w:i w:val="0"/>
                <w:caps w:val="0"/>
                <w:color w:val="333333"/>
                <w:spacing w:val="0"/>
                <w:sz w:val="21"/>
                <w:szCs w:val="21"/>
                <w:bdr w:val="none" w:color="auto" w:sz="0" w:space="0"/>
                <w:lang w:val="en-US"/>
              </w:rPr>
              <w:t>40%</w:t>
            </w:r>
            <w:r>
              <w:rPr>
                <w:rFonts w:hint="default" w:ascii="Times New Roman" w:hAnsi="Times New Roman" w:eastAsia="宋体" w:cs="Times New Roman"/>
                <w:b w:val="0"/>
                <w:i w:val="0"/>
                <w:caps w:val="0"/>
                <w:color w:val="333333"/>
                <w:spacing w:val="0"/>
                <w:sz w:val="21"/>
                <w:szCs w:val="21"/>
                <w:bdr w:val="none" w:color="auto" w:sz="0" w:space="0"/>
              </w:rPr>
              <w:t>扶持资金，增速低于</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的，不再兑现剩余的</w:t>
            </w:r>
            <w:r>
              <w:rPr>
                <w:rFonts w:hint="default" w:ascii="Times New Roman" w:hAnsi="Times New Roman" w:eastAsia="宋体" w:cs="Times New Roman"/>
                <w:b w:val="0"/>
                <w:i w:val="0"/>
                <w:caps w:val="0"/>
                <w:color w:val="333333"/>
                <w:spacing w:val="0"/>
                <w:sz w:val="21"/>
                <w:szCs w:val="21"/>
                <w:bdr w:val="none" w:color="auto" w:sz="0" w:space="0"/>
                <w:lang w:val="en-US"/>
              </w:rPr>
              <w:t>40%</w:t>
            </w:r>
            <w:r>
              <w:rPr>
                <w:rFonts w:hint="default" w:ascii="Times New Roman" w:hAnsi="Times New Roman" w:eastAsia="宋体" w:cs="Times New Roman"/>
                <w:b w:val="0"/>
                <w:i w:val="0"/>
                <w:caps w:val="0"/>
                <w:color w:val="333333"/>
                <w:spacing w:val="0"/>
                <w:sz w:val="21"/>
                <w:szCs w:val="21"/>
                <w:bdr w:val="none" w:color="auto" w:sz="0" w:space="0"/>
              </w:rPr>
              <w:t>扶持资金；第三年商品销售额比上年增长</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及以上的（批发中有零售部分的零售额增速要达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及以上），再兑现</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扶持资金，增速低于</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的，不再兑现剩余的</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扶持资金。</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二、其他营利性服务业企业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（一）培育规模以上其他营利性服务业企业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对月度新增的规模以上其他营利性服务业企业，年度新增的规模以上其他营利性服务业企业且次年增速达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及以上的，企业统计报表基础资料完整，给予每家企业奖励</w:t>
            </w:r>
            <w:r>
              <w:rPr>
                <w:rFonts w:hint="default" w:ascii="Times New Roman" w:hAnsi="Times New Roman" w:eastAsia="宋体" w:cs="Times New Roman"/>
                <w:b w:val="0"/>
                <w:i w:val="0"/>
                <w:caps w:val="0"/>
                <w:color w:val="333333"/>
                <w:spacing w:val="0"/>
                <w:sz w:val="21"/>
                <w:szCs w:val="21"/>
                <w:bdr w:val="none" w:color="auto" w:sz="0" w:space="0"/>
                <w:lang w:val="en-US"/>
              </w:rPr>
              <w:t>3.5</w:t>
            </w:r>
            <w:r>
              <w:rPr>
                <w:rFonts w:hint="default" w:ascii="Times New Roman" w:hAnsi="Times New Roman" w:eastAsia="宋体" w:cs="Times New Roman"/>
                <w:b w:val="0"/>
                <w:i w:val="0"/>
                <w:caps w:val="0"/>
                <w:color w:val="333333"/>
                <w:spacing w:val="0"/>
                <w:sz w:val="21"/>
                <w:szCs w:val="21"/>
                <w:bdr w:val="none" w:color="auto" w:sz="0" w:space="0"/>
              </w:rPr>
              <w:t>万元（</w:t>
            </w:r>
            <w:r>
              <w:rPr>
                <w:rFonts w:hint="default" w:ascii="Times New Roman" w:hAnsi="Times New Roman" w:eastAsia="宋体" w:cs="Times New Roman"/>
                <w:b w:val="0"/>
                <w:i w:val="0"/>
                <w:caps w:val="0"/>
                <w:color w:val="333333"/>
                <w:spacing w:val="0"/>
                <w:sz w:val="21"/>
                <w:szCs w:val="21"/>
                <w:bdr w:val="none" w:color="auto" w:sz="0" w:space="0"/>
                <w:lang w:val="en-US"/>
              </w:rPr>
              <w:t>2017</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2018</w:t>
            </w:r>
            <w:r>
              <w:rPr>
                <w:rFonts w:hint="default" w:ascii="Times New Roman" w:hAnsi="Times New Roman" w:eastAsia="宋体" w:cs="Times New Roman"/>
                <w:b w:val="0"/>
                <w:i w:val="0"/>
                <w:caps w:val="0"/>
                <w:color w:val="333333"/>
                <w:spacing w:val="0"/>
                <w:sz w:val="21"/>
                <w:szCs w:val="21"/>
                <w:bdr w:val="none" w:color="auto" w:sz="0" w:space="0"/>
              </w:rPr>
              <w:t>年根据“市十五条”精神按县级财政负担的</w:t>
            </w:r>
            <w:r>
              <w:rPr>
                <w:rFonts w:hint="default" w:ascii="Times New Roman" w:hAnsi="Times New Roman" w:eastAsia="宋体" w:cs="Times New Roman"/>
                <w:b w:val="0"/>
                <w:i w:val="0"/>
                <w:caps w:val="0"/>
                <w:color w:val="333333"/>
                <w:spacing w:val="0"/>
                <w:sz w:val="21"/>
                <w:szCs w:val="21"/>
                <w:bdr w:val="none" w:color="auto" w:sz="0" w:space="0"/>
                <w:lang w:val="en-US"/>
              </w:rPr>
              <w:t>70%</w:t>
            </w:r>
            <w:r>
              <w:rPr>
                <w:rFonts w:hint="default" w:ascii="Times New Roman" w:hAnsi="Times New Roman" w:eastAsia="宋体" w:cs="Times New Roman"/>
                <w:b w:val="0"/>
                <w:i w:val="0"/>
                <w:caps w:val="0"/>
                <w:color w:val="333333"/>
                <w:spacing w:val="0"/>
                <w:sz w:val="21"/>
                <w:szCs w:val="21"/>
                <w:bdr w:val="none" w:color="auto" w:sz="0" w:space="0"/>
              </w:rPr>
              <w:t>计算，</w:t>
            </w:r>
            <w:r>
              <w:rPr>
                <w:rFonts w:hint="default" w:ascii="Times New Roman" w:hAnsi="Times New Roman" w:eastAsia="宋体" w:cs="Times New Roman"/>
                <w:b w:val="0"/>
                <w:i w:val="0"/>
                <w:caps w:val="0"/>
                <w:color w:val="333333"/>
                <w:spacing w:val="0"/>
                <w:sz w:val="21"/>
                <w:szCs w:val="21"/>
                <w:bdr w:val="none" w:color="auto" w:sz="0" w:space="0"/>
                <w:lang w:val="en-US"/>
              </w:rPr>
              <w:t>2019</w:t>
            </w:r>
            <w:r>
              <w:rPr>
                <w:rFonts w:hint="default" w:ascii="Times New Roman" w:hAnsi="Times New Roman" w:eastAsia="宋体" w:cs="Times New Roman"/>
                <w:b w:val="0"/>
                <w:i w:val="0"/>
                <w:caps w:val="0"/>
                <w:color w:val="333333"/>
                <w:spacing w:val="0"/>
                <w:sz w:val="21"/>
                <w:szCs w:val="21"/>
                <w:bdr w:val="none" w:color="auto" w:sz="0" w:space="0"/>
              </w:rPr>
              <w:t>年仍按此标准给予奖励），同时给予以上企业的统计报表具体报送人员一次性奖励人民币</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（二）做大做强已在库其他营利性服务业企业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对年营业收入达</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万元以上且增速达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万元；年营业额达</w:t>
            </w:r>
            <w:r>
              <w:rPr>
                <w:rFonts w:hint="default" w:ascii="Times New Roman" w:hAnsi="Times New Roman" w:eastAsia="宋体" w:cs="Times New Roman"/>
                <w:b w:val="0"/>
                <w:i w:val="0"/>
                <w:caps w:val="0"/>
                <w:color w:val="333333"/>
                <w:spacing w:val="0"/>
                <w:sz w:val="21"/>
                <w:szCs w:val="21"/>
                <w:bdr w:val="none" w:color="auto" w:sz="0" w:space="0"/>
                <w:lang w:val="en-US"/>
              </w:rPr>
              <w:t>1000</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万元且增速达</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及以上的，企业统计报表基础资料完整，给予企业扶持资金</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万元，同时给予以上企业的统计报表具体报送人员一次性奖励</w:t>
            </w:r>
            <w:r>
              <w:rPr>
                <w:rFonts w:hint="default" w:ascii="Times New Roman" w:hAnsi="Times New Roman" w:eastAsia="宋体" w:cs="Times New Roman"/>
                <w:b w:val="0"/>
                <w:i w:val="0"/>
                <w:caps w:val="0"/>
                <w:color w:val="333333"/>
                <w:spacing w:val="0"/>
                <w:sz w:val="21"/>
                <w:szCs w:val="21"/>
                <w:bdr w:val="none" w:color="auto" w:sz="0" w:space="0"/>
                <w:lang w:val="en-US"/>
              </w:rPr>
              <w:t>3000</w:t>
            </w:r>
            <w:r>
              <w:rPr>
                <w:rFonts w:hint="default" w:ascii="Times New Roman" w:hAnsi="Times New Roman" w:eastAsia="宋体" w:cs="Times New Roman"/>
                <w:b w:val="0"/>
                <w:i w:val="0"/>
                <w:caps w:val="0"/>
                <w:color w:val="333333"/>
                <w:spacing w:val="0"/>
                <w:sz w:val="21"/>
                <w:szCs w:val="21"/>
                <w:bdr w:val="none" w:color="auto" w:sz="0" w:space="0"/>
              </w:rPr>
              <w:t>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三、有关说明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（一）根据“市十五条”精神，市级的</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资金到位后，按要求兑现奖励。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（二）政策措施中涉及的数据评定，依据企业在“统计数据联网报送平台”报送的数字，由县统计局查询提供。电子商务网络销售数据，以福建“正统网”平台的企业数据为准。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（三）本政策措施和“市十五条”由县级财政负担的</w:t>
            </w:r>
            <w:r>
              <w:rPr>
                <w:rFonts w:hint="default" w:ascii="Times New Roman" w:hAnsi="Times New Roman" w:eastAsia="宋体" w:cs="Times New Roman"/>
                <w:b w:val="0"/>
                <w:i w:val="0"/>
                <w:caps w:val="0"/>
                <w:color w:val="333333"/>
                <w:spacing w:val="0"/>
                <w:sz w:val="21"/>
                <w:szCs w:val="21"/>
                <w:bdr w:val="none" w:color="auto" w:sz="0" w:space="0"/>
                <w:lang w:val="en-US"/>
              </w:rPr>
              <w:t>70%</w:t>
            </w:r>
            <w:r>
              <w:rPr>
                <w:rFonts w:hint="default" w:ascii="Times New Roman" w:hAnsi="Times New Roman" w:eastAsia="宋体" w:cs="Times New Roman"/>
                <w:b w:val="0"/>
                <w:i w:val="0"/>
                <w:caps w:val="0"/>
                <w:color w:val="333333"/>
                <w:spacing w:val="0"/>
                <w:sz w:val="21"/>
                <w:szCs w:val="21"/>
                <w:bdr w:val="none" w:color="auto" w:sz="0" w:space="0"/>
              </w:rPr>
              <w:t>部分所涉及的补助资金，同一企业采取“就高不就低”原则，不重复享受（“市十五条”由县级财政负担的</w:t>
            </w:r>
            <w:r>
              <w:rPr>
                <w:rFonts w:hint="default" w:ascii="Times New Roman" w:hAnsi="Times New Roman" w:eastAsia="宋体" w:cs="Times New Roman"/>
                <w:b w:val="0"/>
                <w:i w:val="0"/>
                <w:caps w:val="0"/>
                <w:color w:val="333333"/>
                <w:spacing w:val="0"/>
                <w:sz w:val="21"/>
                <w:szCs w:val="21"/>
                <w:bdr w:val="none" w:color="auto" w:sz="0" w:space="0"/>
                <w:lang w:val="en-US"/>
              </w:rPr>
              <w:t>70%</w:t>
            </w:r>
            <w:r>
              <w:rPr>
                <w:rFonts w:hint="default" w:ascii="Times New Roman" w:hAnsi="Times New Roman" w:eastAsia="宋体" w:cs="Times New Roman"/>
                <w:b w:val="0"/>
                <w:i w:val="0"/>
                <w:caps w:val="0"/>
                <w:color w:val="333333"/>
                <w:spacing w:val="0"/>
                <w:sz w:val="21"/>
                <w:szCs w:val="21"/>
                <w:bdr w:val="none" w:color="auto" w:sz="0" w:space="0"/>
              </w:rPr>
              <w:t>部分所涉及的指标增速执行“就高不就低”原则）。各乡（镇）、连城工业园区管委会要结合各自实际，参照本政策措施制定出台相关配套扶持政策。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（四）本政策措施由连城县服务业第三产业发展工作领导小组办公室负责解释。本政策措施自印发之日起施行，有效期</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连城县人民政府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2017</w:t>
            </w:r>
            <w:r>
              <w:rPr>
                <w:rFonts w:hint="default" w:ascii="Times New Roman" w:hAnsi="Times New Roman" w:eastAsia="宋体" w:cs="Times New Roman"/>
                <w:b w:val="0"/>
                <w:i w:val="0"/>
                <w:caps w:val="0"/>
                <w:color w:val="333333"/>
                <w:spacing w:val="0"/>
                <w:sz w:val="21"/>
                <w:szCs w:val="21"/>
                <w:bdr w:val="none" w:color="auto" w:sz="0" w:space="0"/>
              </w:rPr>
              <w:t>年</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月</w:t>
            </w:r>
            <w:r>
              <w:rPr>
                <w:rFonts w:hint="default" w:ascii="Times New Roman" w:hAnsi="Times New Roman" w:eastAsia="宋体" w:cs="Times New Roman"/>
                <w:b w:val="0"/>
                <w:i w:val="0"/>
                <w:caps w:val="0"/>
                <w:color w:val="333333"/>
                <w:spacing w:val="0"/>
                <w:sz w:val="21"/>
                <w:szCs w:val="21"/>
                <w:bdr w:val="none" w:color="auto" w:sz="0" w:space="0"/>
                <w:lang w:val="en-US"/>
              </w:rPr>
              <w:t>11</w:t>
            </w:r>
            <w:r>
              <w:rPr>
                <w:rFonts w:hint="default" w:ascii="Times New Roman" w:hAnsi="Times New Roman" w:eastAsia="宋体" w:cs="Times New Roman"/>
                <w:b w:val="0"/>
                <w:i w:val="0"/>
                <w:caps w:val="0"/>
                <w:color w:val="333333"/>
                <w:spacing w:val="0"/>
                <w:sz w:val="21"/>
                <w:szCs w:val="21"/>
                <w:bdr w:val="none" w:color="auto" w:sz="0" w:space="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906C6"/>
    <w:rsid w:val="04A906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2018-06-06T09:19:00Z</dcterms:created>
  <dc:creator>lenovo</dc:creator>
  <cp:lastModifiedBy>lenovo</cp:lastModifiedBy>
  <dcterms:modified xsi:type="dcterms:W3CDTF">2018-06-06T09:19:34Z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