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CellSpacing w:w="0" w:type="dxa"/>
        <w:tblCellMar>
          <w:left w:w="0" w:type="dxa"/>
          <w:right w:w="0" w:type="dxa"/>
        </w:tblCellMar>
        <w:tblLook w:val="04A0" w:firstRow="1" w:lastRow="0" w:firstColumn="1" w:lastColumn="0" w:noHBand="0" w:noVBand="1"/>
      </w:tblPr>
      <w:tblGrid>
        <w:gridCol w:w="4133"/>
        <w:gridCol w:w="2316"/>
        <w:gridCol w:w="1857"/>
      </w:tblGrid>
      <w:tr w:rsidR="00C227D7" w:rsidRPr="00C227D7" w:rsidTr="00C227D7">
        <w:trPr>
          <w:trHeight w:val="830"/>
          <w:tblCellSpacing w:w="0" w:type="dxa"/>
          <w:jc w:val="center"/>
        </w:trPr>
        <w:tc>
          <w:tcPr>
            <w:tcW w:w="0" w:type="auto"/>
            <w:gridSpan w:val="3"/>
            <w:vAlign w:val="center"/>
            <w:hideMark/>
          </w:tcPr>
          <w:p w:rsidR="00C227D7" w:rsidRPr="00C227D7" w:rsidRDefault="00C227D7" w:rsidP="00C227D7">
            <w:pPr>
              <w:widowControl/>
              <w:spacing w:line="450" w:lineRule="atLeast"/>
              <w:jc w:val="center"/>
              <w:rPr>
                <w:rFonts w:ascii="微软雅黑" w:eastAsia="微软雅黑" w:hAnsi="微软雅黑" w:cs="宋体"/>
                <w:color w:val="000000"/>
                <w:kern w:val="0"/>
                <w:sz w:val="36"/>
                <w:szCs w:val="36"/>
              </w:rPr>
            </w:pPr>
            <w:bookmarkStart w:id="0" w:name="_GoBack"/>
            <w:r w:rsidRPr="00C227D7">
              <w:rPr>
                <w:rFonts w:ascii="微软雅黑" w:eastAsia="微软雅黑" w:hAnsi="微软雅黑" w:cs="宋体" w:hint="eastAsia"/>
                <w:color w:val="000000"/>
                <w:kern w:val="0"/>
                <w:sz w:val="36"/>
                <w:szCs w:val="36"/>
              </w:rPr>
              <w:t>萍乡市人民政府关于印发萍乡市鼓励和扶持企业上市若干优惠政策规定的通知</w:t>
            </w:r>
            <w:bookmarkEnd w:id="0"/>
          </w:p>
        </w:tc>
      </w:tr>
      <w:tr w:rsidR="00C227D7" w:rsidRPr="00C227D7" w:rsidTr="00C227D7">
        <w:trPr>
          <w:trHeight w:val="310"/>
          <w:tblCellSpacing w:w="0" w:type="dxa"/>
          <w:jc w:val="center"/>
        </w:trPr>
        <w:tc>
          <w:tcPr>
            <w:tcW w:w="2250" w:type="pct"/>
            <w:tcBorders>
              <w:bottom w:val="single" w:sz="6" w:space="0" w:color="EFEFEF"/>
            </w:tcBorders>
            <w:tcMar>
              <w:top w:w="0" w:type="dxa"/>
              <w:left w:w="1350" w:type="dxa"/>
              <w:bottom w:w="0" w:type="dxa"/>
              <w:right w:w="0" w:type="dxa"/>
            </w:tcMar>
            <w:vAlign w:val="center"/>
            <w:hideMark/>
          </w:tcPr>
          <w:p w:rsidR="00C227D7" w:rsidRPr="00C227D7" w:rsidRDefault="00C227D7" w:rsidP="00C227D7">
            <w:pPr>
              <w:widowControl/>
              <w:spacing w:line="450" w:lineRule="atLeast"/>
              <w:jc w:val="right"/>
              <w:rPr>
                <w:rFonts w:ascii="微软雅黑" w:eastAsia="微软雅黑" w:hAnsi="微软雅黑" w:cs="宋体" w:hint="eastAsia"/>
                <w:color w:val="515151"/>
                <w:kern w:val="0"/>
                <w:szCs w:val="21"/>
              </w:rPr>
            </w:pPr>
            <w:r w:rsidRPr="00C227D7">
              <w:rPr>
                <w:rFonts w:ascii="微软雅黑" w:eastAsia="微软雅黑" w:hAnsi="微软雅黑" w:cs="宋体" w:hint="eastAsia"/>
                <w:color w:val="515151"/>
                <w:kern w:val="0"/>
                <w:szCs w:val="21"/>
              </w:rPr>
              <w:t xml:space="preserve">2011-05-10 </w:t>
            </w:r>
            <w:proofErr w:type="gramStart"/>
            <w:r w:rsidRPr="00C227D7">
              <w:rPr>
                <w:rFonts w:ascii="微软雅黑" w:eastAsia="微软雅黑" w:hAnsi="微软雅黑" w:cs="宋体" w:hint="eastAsia"/>
                <w:color w:val="515151"/>
                <w:kern w:val="0"/>
                <w:szCs w:val="21"/>
              </w:rPr>
              <w:t xml:space="preserve">　　　　</w:t>
            </w:r>
            <w:proofErr w:type="gramEnd"/>
            <w:r w:rsidRPr="00C227D7">
              <w:rPr>
                <w:rFonts w:ascii="微软雅黑" w:eastAsia="微软雅黑" w:hAnsi="微软雅黑" w:cs="宋体" w:hint="eastAsia"/>
                <w:color w:val="515151"/>
                <w:kern w:val="0"/>
                <w:szCs w:val="21"/>
              </w:rPr>
              <w:t>来源：市政府办公室</w:t>
            </w:r>
          </w:p>
        </w:tc>
        <w:tc>
          <w:tcPr>
            <w:tcW w:w="1500" w:type="pct"/>
            <w:tcBorders>
              <w:bottom w:val="single" w:sz="6" w:space="0" w:color="EFEFEF"/>
            </w:tcBorders>
            <w:tcMar>
              <w:top w:w="0" w:type="dxa"/>
              <w:left w:w="0" w:type="dxa"/>
              <w:bottom w:w="0" w:type="dxa"/>
              <w:right w:w="150" w:type="dxa"/>
            </w:tcMar>
            <w:vAlign w:val="center"/>
            <w:hideMark/>
          </w:tcPr>
          <w:p w:rsidR="00C227D7" w:rsidRPr="00C227D7" w:rsidRDefault="00C227D7" w:rsidP="00C227D7">
            <w:pPr>
              <w:widowControl/>
              <w:spacing w:line="450" w:lineRule="atLeast"/>
              <w:jc w:val="center"/>
              <w:rPr>
                <w:rFonts w:ascii="微软雅黑" w:eastAsia="微软雅黑" w:hAnsi="微软雅黑" w:cs="宋体" w:hint="eastAsia"/>
                <w:color w:val="515151"/>
                <w:kern w:val="0"/>
                <w:szCs w:val="21"/>
              </w:rPr>
            </w:pPr>
            <w:r w:rsidRPr="00C227D7">
              <w:rPr>
                <w:rFonts w:ascii="微软雅黑" w:eastAsia="微软雅黑" w:hAnsi="微软雅黑" w:cs="宋体" w:hint="eastAsia"/>
                <w:color w:val="515151"/>
                <w:kern w:val="0"/>
                <w:szCs w:val="21"/>
              </w:rPr>
              <w:t>字号：[   </w:t>
            </w:r>
            <w:hyperlink r:id="rId4" w:history="1">
              <w:r w:rsidRPr="00C227D7">
                <w:rPr>
                  <w:rFonts w:ascii="微软雅黑" w:eastAsia="微软雅黑" w:hAnsi="微软雅黑" w:cs="宋体" w:hint="eastAsia"/>
                  <w:color w:val="515151"/>
                  <w:kern w:val="0"/>
                  <w:szCs w:val="21"/>
                </w:rPr>
                <w:t>大</w:t>
              </w:r>
            </w:hyperlink>
            <w:r w:rsidRPr="00C227D7">
              <w:rPr>
                <w:rFonts w:ascii="微软雅黑" w:eastAsia="微软雅黑" w:hAnsi="微软雅黑" w:cs="宋体" w:hint="eastAsia"/>
                <w:color w:val="515151"/>
                <w:kern w:val="0"/>
                <w:szCs w:val="21"/>
              </w:rPr>
              <w:t>   </w:t>
            </w:r>
            <w:hyperlink r:id="rId5" w:history="1">
              <w:r w:rsidRPr="00C227D7">
                <w:rPr>
                  <w:rFonts w:ascii="微软雅黑" w:eastAsia="微软雅黑" w:hAnsi="微软雅黑" w:cs="宋体" w:hint="eastAsia"/>
                  <w:color w:val="515151"/>
                  <w:kern w:val="0"/>
                  <w:szCs w:val="21"/>
                </w:rPr>
                <w:t>中</w:t>
              </w:r>
            </w:hyperlink>
            <w:r w:rsidRPr="00C227D7">
              <w:rPr>
                <w:rFonts w:ascii="微软雅黑" w:eastAsia="微软雅黑" w:hAnsi="微软雅黑" w:cs="宋体" w:hint="eastAsia"/>
                <w:color w:val="515151"/>
                <w:kern w:val="0"/>
                <w:szCs w:val="21"/>
              </w:rPr>
              <w:t>   </w:t>
            </w:r>
            <w:hyperlink r:id="rId6" w:history="1">
              <w:r w:rsidRPr="00C227D7">
                <w:rPr>
                  <w:rFonts w:ascii="微软雅黑" w:eastAsia="微软雅黑" w:hAnsi="微软雅黑" w:cs="宋体" w:hint="eastAsia"/>
                  <w:color w:val="515151"/>
                  <w:kern w:val="0"/>
                  <w:szCs w:val="21"/>
                </w:rPr>
                <w:t>小</w:t>
              </w:r>
            </w:hyperlink>
            <w:r w:rsidRPr="00C227D7">
              <w:rPr>
                <w:rFonts w:ascii="微软雅黑" w:eastAsia="微软雅黑" w:hAnsi="微软雅黑" w:cs="宋体" w:hint="eastAsia"/>
                <w:color w:val="515151"/>
                <w:kern w:val="0"/>
                <w:szCs w:val="21"/>
              </w:rPr>
              <w:t>   ]</w:t>
            </w:r>
          </w:p>
        </w:tc>
        <w:tc>
          <w:tcPr>
            <w:tcW w:w="1250" w:type="pct"/>
            <w:tcBorders>
              <w:bottom w:val="single" w:sz="6" w:space="0" w:color="EFEFEF"/>
            </w:tcBorders>
            <w:vAlign w:val="center"/>
            <w:hideMark/>
          </w:tcPr>
          <w:p w:rsidR="00C227D7" w:rsidRPr="00C227D7" w:rsidRDefault="00C227D7" w:rsidP="00C227D7">
            <w:pPr>
              <w:widowControl/>
              <w:spacing w:line="450" w:lineRule="atLeast"/>
              <w:jc w:val="center"/>
              <w:rPr>
                <w:rFonts w:ascii="微软雅黑" w:eastAsia="微软雅黑" w:hAnsi="微软雅黑" w:cs="宋体" w:hint="eastAsia"/>
                <w:color w:val="515151"/>
                <w:kern w:val="0"/>
                <w:szCs w:val="21"/>
              </w:rPr>
            </w:pPr>
          </w:p>
        </w:tc>
      </w:tr>
      <w:tr w:rsidR="00C227D7" w:rsidRPr="00C227D7" w:rsidTr="00C227D7">
        <w:trPr>
          <w:trHeight w:val="860"/>
          <w:tblCellSpacing w:w="0" w:type="dxa"/>
          <w:jc w:val="center"/>
        </w:trPr>
        <w:tc>
          <w:tcPr>
            <w:tcW w:w="0" w:type="auto"/>
            <w:gridSpan w:val="3"/>
            <w:tcMar>
              <w:top w:w="375" w:type="dxa"/>
              <w:left w:w="375" w:type="dxa"/>
              <w:bottom w:w="375" w:type="dxa"/>
              <w:right w:w="375" w:type="dxa"/>
            </w:tcMar>
            <w:hideMark/>
          </w:tcPr>
          <w:p w:rsidR="00C227D7" w:rsidRPr="00C227D7" w:rsidRDefault="00C227D7" w:rsidP="00C227D7">
            <w:pPr>
              <w:widowControl/>
              <w:spacing w:before="75" w:after="75" w:line="480" w:lineRule="auto"/>
              <w:jc w:val="center"/>
              <w:rPr>
                <w:rFonts w:ascii="宋体" w:eastAsia="宋体" w:hAnsi="宋体" w:cs="宋体"/>
                <w:color w:val="000000"/>
                <w:kern w:val="0"/>
                <w:szCs w:val="21"/>
              </w:rPr>
            </w:pPr>
            <w:r w:rsidRPr="00C227D7">
              <w:rPr>
                <w:rFonts w:ascii="宋体" w:eastAsia="宋体" w:hAnsi="宋体" w:cs="宋体" w:hint="eastAsia"/>
                <w:color w:val="000000"/>
                <w:kern w:val="0"/>
                <w:szCs w:val="21"/>
              </w:rPr>
              <w:t xml:space="preserve">　　</w:t>
            </w:r>
            <w:proofErr w:type="gramStart"/>
            <w:r w:rsidRPr="00C227D7">
              <w:rPr>
                <w:rFonts w:ascii="宋体" w:eastAsia="宋体" w:hAnsi="宋体" w:cs="宋体" w:hint="eastAsia"/>
                <w:color w:val="000000"/>
                <w:kern w:val="0"/>
                <w:szCs w:val="21"/>
              </w:rPr>
              <w:t>萍府发</w:t>
            </w:r>
            <w:proofErr w:type="gramEnd"/>
            <w:r w:rsidRPr="00C227D7">
              <w:rPr>
                <w:rFonts w:ascii="宋体" w:eastAsia="宋体" w:hAnsi="宋体" w:cs="宋体" w:hint="eastAsia"/>
                <w:color w:val="000000"/>
                <w:kern w:val="0"/>
                <w:szCs w:val="21"/>
              </w:rPr>
              <w:t>〔2011〕1号</w:t>
            </w:r>
          </w:p>
          <w:p w:rsidR="00C227D7" w:rsidRPr="00C227D7" w:rsidRDefault="00C227D7" w:rsidP="00C227D7">
            <w:pPr>
              <w:widowControl/>
              <w:spacing w:before="75" w:after="75" w:line="480" w:lineRule="auto"/>
              <w:jc w:val="center"/>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各县（区）人民政府，市政府各部门：</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《萍乡市鼓励和扶持企业上市若干优惠政策规定》已经市政府第61次常务会议研究同意，现印发给你们，请认真贯彻执行。</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二〇一一年三月十六日</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w:t>
            </w:r>
          </w:p>
          <w:p w:rsidR="00C227D7" w:rsidRPr="00C227D7" w:rsidRDefault="00C227D7" w:rsidP="00C227D7">
            <w:pPr>
              <w:widowControl/>
              <w:spacing w:before="75" w:after="75" w:line="480" w:lineRule="auto"/>
              <w:jc w:val="center"/>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萍乡市鼓励和扶持企业上市若干优惠政策规定</w:t>
            </w:r>
          </w:p>
          <w:p w:rsidR="00C227D7" w:rsidRPr="00C227D7" w:rsidRDefault="00C227D7" w:rsidP="00C227D7">
            <w:pPr>
              <w:widowControl/>
              <w:spacing w:before="75" w:after="75" w:line="480" w:lineRule="auto"/>
              <w:jc w:val="center"/>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为加快推进我市企业上市工作步伐，鼓励企业充分利用资本市场，促进一批成长性好、发展潜力大的企业通过上市做大、做优、做强，在《萍乡市人民政府印发关于支持企业上市的实施办法的通知》（</w:t>
            </w:r>
            <w:proofErr w:type="gramStart"/>
            <w:r w:rsidRPr="00C227D7">
              <w:rPr>
                <w:rFonts w:ascii="宋体" w:eastAsia="宋体" w:hAnsi="宋体" w:cs="宋体" w:hint="eastAsia"/>
                <w:color w:val="000000"/>
                <w:kern w:val="0"/>
                <w:szCs w:val="21"/>
              </w:rPr>
              <w:t>萍府发</w:t>
            </w:r>
            <w:proofErr w:type="gramEnd"/>
            <w:r w:rsidRPr="00C227D7">
              <w:rPr>
                <w:rFonts w:ascii="宋体" w:eastAsia="宋体" w:hAnsi="宋体" w:cs="宋体" w:hint="eastAsia"/>
                <w:color w:val="000000"/>
                <w:kern w:val="0"/>
                <w:szCs w:val="21"/>
              </w:rPr>
              <w:t>〔2008〕6号）的基础上，结合我市实际，制定本规定。</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一、扶持企业上市的指导思想</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lastRenderedPageBreak/>
              <w:t xml:space="preserve">　　按照“政府引导、政策扶持、资金支持”的原则，积极发挥政府部门的职能作用和扶持奖励政策的激励促进效应，引导和鼓励更多的企业上市发行股票,募集发展资金，扩大企业规模，完善公司治理结构，建立现代企业制度，提升企业盈利水平，增强企业的可持续发展能力。</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二、扶持企业上市工作的目标</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以科学发展观为指导，按照“筛选一批、培育一批、辅导一批、上市一批”的梯度推进工作思路，推动企业分层分批发起设立股份有限公司；大力培育拟上市企业群体；坚持分类指导，鼓励企业多渠道上市。力争到2015年，全市上市公司达到2家以上。</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三、对企业上市的具体支持政策</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（一）财税</w:t>
            </w:r>
            <w:proofErr w:type="gramStart"/>
            <w:r w:rsidRPr="00C227D7">
              <w:rPr>
                <w:rFonts w:ascii="宋体" w:eastAsia="宋体" w:hAnsi="宋体" w:cs="宋体" w:hint="eastAsia"/>
                <w:color w:val="000000"/>
                <w:kern w:val="0"/>
                <w:szCs w:val="21"/>
              </w:rPr>
              <w:t>类支持</w:t>
            </w:r>
            <w:proofErr w:type="gramEnd"/>
            <w:r w:rsidRPr="00C227D7">
              <w:rPr>
                <w:rFonts w:ascii="宋体" w:eastAsia="宋体" w:hAnsi="宋体" w:cs="宋体" w:hint="eastAsia"/>
                <w:color w:val="000000"/>
                <w:kern w:val="0"/>
                <w:szCs w:val="21"/>
              </w:rPr>
              <w:t>政策</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1.企业在整体改制或变更为股份公司时，因财务核算等原因造成上市障碍，有关部门要主动沟通协调，积极支持企业的资本运作。在有资质的会计事务所等中介机构审计评估后，净资产增值部分应补缴的所得税和因上市要求规范税收政策而对以前年度应补缴的增值税和所得税，以及需要对土地、房产、车船等产权过户而产生的营业税、契税、房产税、土地增值税等，征缴后地方留成部分由同级受益财政按照等额补贴，全部补助企业用于生产发展。</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2.企业在推进上市期间（指企业与券商等中介机构签订了改制或辅导协议</w:t>
            </w:r>
            <w:proofErr w:type="gramStart"/>
            <w:r w:rsidRPr="00C227D7">
              <w:rPr>
                <w:rFonts w:ascii="宋体" w:eastAsia="宋体" w:hAnsi="宋体" w:cs="宋体" w:hint="eastAsia"/>
                <w:color w:val="000000"/>
                <w:kern w:val="0"/>
                <w:szCs w:val="21"/>
              </w:rPr>
              <w:t>至上市</w:t>
            </w:r>
            <w:proofErr w:type="gramEnd"/>
            <w:r w:rsidRPr="00C227D7">
              <w:rPr>
                <w:rFonts w:ascii="宋体" w:eastAsia="宋体" w:hAnsi="宋体" w:cs="宋体" w:hint="eastAsia"/>
                <w:color w:val="000000"/>
                <w:kern w:val="0"/>
                <w:szCs w:val="21"/>
              </w:rPr>
              <w:t>成功）支付的有关上市前期费用，凭合法有效凭证，可以计入当年经营成</w:t>
            </w:r>
            <w:r w:rsidRPr="00C227D7">
              <w:rPr>
                <w:rFonts w:ascii="宋体" w:eastAsia="宋体" w:hAnsi="宋体" w:cs="宋体" w:hint="eastAsia"/>
                <w:color w:val="000000"/>
                <w:kern w:val="0"/>
                <w:szCs w:val="21"/>
              </w:rPr>
              <w:lastRenderedPageBreak/>
              <w:t>本；期间，年纳税额以超过15%的环比增速增长的，超过15%部分的地方留成，由同级受益财政补贴给改制后的企业。</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3.改制辅导企业进行增资扩股、利润分配、股权转让或进行资产重组过程中所缴纳的个人所得税，地方财政留成部分按等额补贴的办法，由同级受益财政全额补贴纳税人。</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4.企业在改制上市过程中，以不动产或无形资产作价投资入股，参与接受方利润分配并与接受投资方共同承担投资风险的，税务部门不征收营业税。</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上述补贴，在企业与受益财政签订协议后由受益财政拨付，如果企业在开始进行股份制改造后5年内未能实现上市的，根据协议所给补贴由受益财政全额收回。</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5.凡进入上市辅导期公告期的企业，由同级受益财政先期垫付100万元，</w:t>
            </w:r>
            <w:proofErr w:type="gramStart"/>
            <w:r w:rsidRPr="00C227D7">
              <w:rPr>
                <w:rFonts w:ascii="宋体" w:eastAsia="宋体" w:hAnsi="宋体" w:cs="宋体" w:hint="eastAsia"/>
                <w:color w:val="000000"/>
                <w:kern w:val="0"/>
                <w:szCs w:val="21"/>
              </w:rPr>
              <w:t>待成功</w:t>
            </w:r>
            <w:proofErr w:type="gramEnd"/>
            <w:r w:rsidRPr="00C227D7">
              <w:rPr>
                <w:rFonts w:ascii="宋体" w:eastAsia="宋体" w:hAnsi="宋体" w:cs="宋体" w:hint="eastAsia"/>
                <w:color w:val="000000"/>
                <w:kern w:val="0"/>
                <w:szCs w:val="21"/>
              </w:rPr>
              <w:t>上市后，由上市企业归还。具体操作为拟上市企业和受益财政同级国有资产经营公司或政府性控股公司（含政府融资平台）签订一份协议，各同级受益财政将资金拨付给同级国有资产经营公司或政府性控股公司（含政府融资平台），再由同级国有资产经营公司或政府性控股公司（含政府融资平台）借给拟上市企业。</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6.企业实现上市后，年纳税额以超过20%的环比增速增长的，对超过20%的增幅部分，第一年按地方财政留成部分的全额，第二年按地方财政留成部分的50%，由同级受益财政对企业予以奖励。</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lastRenderedPageBreak/>
              <w:t xml:space="preserve">　　7.企业因股份制改造和上市规范要求，需通过新设立股份有限公司对资产进行并购重组的，其存量资产转让过户中涉及的各项行政事业收费，以及涉及工商税务变更登记（不含增加注册资本的变更登记）、房地产及水、电、通讯等设施过户、资产转让等有关行政事业收费事项，在扣除工本费后，予以免收。</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8.对我市第一家成功上市的企业，市财政和受益财政按3:7的比例给予企业一次性奖励300万元，之后上市的企业，由市财政和受益财政按3:7的比例给予企业一次性奖励100万元。</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（二）其他</w:t>
            </w:r>
            <w:proofErr w:type="gramStart"/>
            <w:r w:rsidRPr="00C227D7">
              <w:rPr>
                <w:rFonts w:ascii="宋体" w:eastAsia="宋体" w:hAnsi="宋体" w:cs="宋体" w:hint="eastAsia"/>
                <w:color w:val="000000"/>
                <w:kern w:val="0"/>
                <w:szCs w:val="21"/>
              </w:rPr>
              <w:t>类支持</w:t>
            </w:r>
            <w:proofErr w:type="gramEnd"/>
            <w:r w:rsidRPr="00C227D7">
              <w:rPr>
                <w:rFonts w:ascii="宋体" w:eastAsia="宋体" w:hAnsi="宋体" w:cs="宋体" w:hint="eastAsia"/>
                <w:color w:val="000000"/>
                <w:kern w:val="0"/>
                <w:szCs w:val="21"/>
              </w:rPr>
              <w:t>政策</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1.企业上市所需建设用地，国土部门优先安排土地使用计划指标，并及时报批，保障企业项目用地。企业上市和已上市企业再融资</w:t>
            </w:r>
            <w:proofErr w:type="gramStart"/>
            <w:r w:rsidRPr="00C227D7">
              <w:rPr>
                <w:rFonts w:ascii="宋体" w:eastAsia="宋体" w:hAnsi="宋体" w:cs="宋体" w:hint="eastAsia"/>
                <w:color w:val="000000"/>
                <w:kern w:val="0"/>
                <w:szCs w:val="21"/>
              </w:rPr>
              <w:t>募投项目</w:t>
            </w:r>
            <w:proofErr w:type="gramEnd"/>
            <w:r w:rsidRPr="00C227D7">
              <w:rPr>
                <w:rFonts w:ascii="宋体" w:eastAsia="宋体" w:hAnsi="宋体" w:cs="宋体" w:hint="eastAsia"/>
                <w:color w:val="000000"/>
                <w:kern w:val="0"/>
                <w:szCs w:val="21"/>
              </w:rPr>
              <w:t>属鼓励类产业项目，且投资额在1亿美元或5亿元人民币以上的，项目用地计划可单列。</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2.企业按上市要求进行股份制改造时，原以划拨方式取得的土地，如不改变用地性质，可办理土地出让手续，其中，工业项目用地价格按照我市政策规定的最低价标准执行。应缴土地出让金经同级政府批准可分批一年内缴清。</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3.企业将上市首发融资和再融资所筹集资金80%以上在萍乡市范围内投资，且募集资金所投项目符合国家、</w:t>
            </w:r>
            <w:proofErr w:type="gramStart"/>
            <w:r w:rsidRPr="00C227D7">
              <w:rPr>
                <w:rFonts w:ascii="宋体" w:eastAsia="宋体" w:hAnsi="宋体" w:cs="宋体" w:hint="eastAsia"/>
                <w:color w:val="000000"/>
                <w:kern w:val="0"/>
                <w:szCs w:val="21"/>
              </w:rPr>
              <w:t>省产业</w:t>
            </w:r>
            <w:proofErr w:type="gramEnd"/>
            <w:r w:rsidRPr="00C227D7">
              <w:rPr>
                <w:rFonts w:ascii="宋体" w:eastAsia="宋体" w:hAnsi="宋体" w:cs="宋体" w:hint="eastAsia"/>
                <w:color w:val="000000"/>
                <w:kern w:val="0"/>
                <w:szCs w:val="21"/>
              </w:rPr>
              <w:t>政策导向的，可按程序优先纳入市重点建设项目库，享受市重点建设项目的各项政策。</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4.对上市公司和上市重点后备企业优先安排向国家、省申报各类政策性扶持资金和国债项目补助资金，优先向国家、省推荐申报高新技术企业、技术创新企业等资格。</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lastRenderedPageBreak/>
              <w:t xml:space="preserve">　　5.企业因上市</w:t>
            </w:r>
            <w:proofErr w:type="gramStart"/>
            <w:r w:rsidRPr="00C227D7">
              <w:rPr>
                <w:rFonts w:ascii="宋体" w:eastAsia="宋体" w:hAnsi="宋体" w:cs="宋体" w:hint="eastAsia"/>
                <w:color w:val="000000"/>
                <w:kern w:val="0"/>
                <w:szCs w:val="21"/>
              </w:rPr>
              <w:t>进行股</w:t>
            </w:r>
            <w:proofErr w:type="gramEnd"/>
            <w:r w:rsidRPr="00C227D7">
              <w:rPr>
                <w:rFonts w:ascii="宋体" w:eastAsia="宋体" w:hAnsi="宋体" w:cs="宋体" w:hint="eastAsia"/>
                <w:color w:val="000000"/>
                <w:kern w:val="0"/>
                <w:szCs w:val="21"/>
              </w:rPr>
              <w:t>改后，原按政策规定未享受完的各项优惠政策继续保留。</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6.市政府及有关部门协调金融机构为上市重点后备企业提供信贷支持，并引进各类投资机构（基金）对上市重点后备企业进行投资。</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7.各级政府通过采购手段支持上市企业发展，主动为上市企业开辟市场。各级政府性投资建设项目使用的设备、材料等，凡本地上市公司和上市重点后备企业能够提供的，在招标采购时，优先采购选用。</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8.建立企业上市过程中办理相关证件、手续的绿色通道并简化手续，减少环节。</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9.企业上市过程中涉及到的特殊问题由市推进企业上市工作领导小组采取</w:t>
            </w:r>
            <w:proofErr w:type="gramStart"/>
            <w:r w:rsidRPr="00C227D7">
              <w:rPr>
                <w:rFonts w:ascii="宋体" w:eastAsia="宋体" w:hAnsi="宋体" w:cs="宋体" w:hint="eastAsia"/>
                <w:color w:val="000000"/>
                <w:kern w:val="0"/>
                <w:szCs w:val="21"/>
              </w:rPr>
              <w:t>一</w:t>
            </w:r>
            <w:proofErr w:type="gramEnd"/>
            <w:r w:rsidRPr="00C227D7">
              <w:rPr>
                <w:rFonts w:ascii="宋体" w:eastAsia="宋体" w:hAnsi="宋体" w:cs="宋体" w:hint="eastAsia"/>
                <w:color w:val="000000"/>
                <w:kern w:val="0"/>
                <w:szCs w:val="21"/>
              </w:rPr>
              <w:t>企</w:t>
            </w:r>
            <w:proofErr w:type="gramStart"/>
            <w:r w:rsidRPr="00C227D7">
              <w:rPr>
                <w:rFonts w:ascii="宋体" w:eastAsia="宋体" w:hAnsi="宋体" w:cs="宋体" w:hint="eastAsia"/>
                <w:color w:val="000000"/>
                <w:kern w:val="0"/>
                <w:szCs w:val="21"/>
              </w:rPr>
              <w:t>一</w:t>
            </w:r>
            <w:proofErr w:type="gramEnd"/>
            <w:r w:rsidRPr="00C227D7">
              <w:rPr>
                <w:rFonts w:ascii="宋体" w:eastAsia="宋体" w:hAnsi="宋体" w:cs="宋体" w:hint="eastAsia"/>
                <w:color w:val="000000"/>
                <w:kern w:val="0"/>
                <w:szCs w:val="21"/>
              </w:rPr>
              <w:t>策、一事一议的办法解决。</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四、以上规定适用于与有企业上市从业资格的券商、会计事务所等中介机构签订合作协议，并上市后公司注册地在萍乡市行政辖区内的企业。</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五、对新增上市企业的县区和萍乡市经济技术开发区党政领导班子，</w:t>
            </w:r>
            <w:proofErr w:type="gramStart"/>
            <w:r w:rsidRPr="00C227D7">
              <w:rPr>
                <w:rFonts w:ascii="宋体" w:eastAsia="宋体" w:hAnsi="宋体" w:cs="宋体" w:hint="eastAsia"/>
                <w:color w:val="000000"/>
                <w:kern w:val="0"/>
                <w:szCs w:val="21"/>
              </w:rPr>
              <w:t>每实现</w:t>
            </w:r>
            <w:proofErr w:type="gramEnd"/>
            <w:r w:rsidRPr="00C227D7">
              <w:rPr>
                <w:rFonts w:ascii="宋体" w:eastAsia="宋体" w:hAnsi="宋体" w:cs="宋体" w:hint="eastAsia"/>
                <w:color w:val="000000"/>
                <w:kern w:val="0"/>
                <w:szCs w:val="21"/>
              </w:rPr>
              <w:t>一户企业上市，由市财政奖励5万元。同时，将企业上市工作推进情况纳入各县区和萍乡经济技术开发区的年度目标考核内容。</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xml:space="preserve">　　六、本规定自下发之日起施行，原有政策与本规定有冲突的，以本规定为准。各县区政府、萍乡经济技术开发区管委会参照本规定，制定本辖区鼓励和支持企业上市的相关扶持政策。</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lastRenderedPageBreak/>
              <w:t>主题词：经济管理  企业上市  政策  通知</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抄送：市委，市纪委，市人大，市政协，萍乡军分区，市委各部门，市法院，市检察院，群众团体，新闻单位。</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萍乡市人民政府办公室秘书科                                                     2011年3月16日印发</w:t>
            </w:r>
          </w:p>
          <w:p w:rsidR="00C227D7" w:rsidRPr="00C227D7" w:rsidRDefault="00C227D7" w:rsidP="00C227D7">
            <w:pPr>
              <w:widowControl/>
              <w:spacing w:before="75" w:after="75" w:line="480" w:lineRule="auto"/>
              <w:jc w:val="left"/>
              <w:rPr>
                <w:rFonts w:ascii="宋体" w:eastAsia="宋体" w:hAnsi="宋体" w:cs="宋体" w:hint="eastAsia"/>
                <w:color w:val="000000"/>
                <w:kern w:val="0"/>
                <w:szCs w:val="21"/>
              </w:rPr>
            </w:pPr>
            <w:r w:rsidRPr="00C227D7">
              <w:rPr>
                <w:rFonts w:ascii="宋体" w:eastAsia="宋体" w:hAnsi="宋体" w:cs="宋体" w:hint="eastAsia"/>
                <w:color w:val="000000"/>
                <w:kern w:val="0"/>
                <w:szCs w:val="21"/>
              </w:rPr>
              <w:t>                                                                               　　共印220份</w:t>
            </w:r>
          </w:p>
        </w:tc>
      </w:tr>
    </w:tbl>
    <w:p w:rsidR="00890BF1" w:rsidRDefault="00890BF1"/>
    <w:sectPr w:rsidR="00890B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7D7"/>
    <w:rsid w:val="00890BF1"/>
    <w:rsid w:val="00C22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BD907-1B88-43E4-BC16-67909D4C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27D7"/>
    <w:rPr>
      <w:color w:val="0000FF"/>
      <w:u w:val="single"/>
    </w:rPr>
  </w:style>
  <w:style w:type="paragraph" w:styleId="a4">
    <w:name w:val="Normal (Web)"/>
    <w:basedOn w:val="a"/>
    <w:uiPriority w:val="99"/>
    <w:semiHidden/>
    <w:unhideWhenUsed/>
    <w:rsid w:val="00C227D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30743">
      <w:bodyDiv w:val="1"/>
      <w:marLeft w:val="0"/>
      <w:marRight w:val="0"/>
      <w:marTop w:val="0"/>
      <w:marBottom w:val="0"/>
      <w:divBdr>
        <w:top w:val="none" w:sz="0" w:space="0" w:color="auto"/>
        <w:left w:val="none" w:sz="0" w:space="0" w:color="auto"/>
        <w:bottom w:val="none" w:sz="0" w:space="0" w:color="auto"/>
        <w:right w:val="none" w:sz="0" w:space="0" w:color="auto"/>
      </w:divBdr>
      <w:divsChild>
        <w:div w:id="651375305">
          <w:marLeft w:val="0"/>
          <w:marRight w:val="0"/>
          <w:marTop w:val="0"/>
          <w:marBottom w:val="0"/>
          <w:divBdr>
            <w:top w:val="none" w:sz="0" w:space="0" w:color="auto"/>
            <w:left w:val="none" w:sz="0" w:space="0" w:color="auto"/>
            <w:bottom w:val="none" w:sz="0" w:space="0" w:color="auto"/>
            <w:right w:val="none" w:sz="0" w:space="0" w:color="auto"/>
          </w:divBdr>
          <w:divsChild>
            <w:div w:id="16844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4" Type="http://schemas.openxmlformats.org/officeDocument/2006/relationships/hyperlink" Target="javascript:doZoom(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2018-05-05T12:32:00Z</dcterms:created>
  <dcterms:modified xsi:type="dcterms:W3CDTF">2018-05-05T12:32:00Z</dcterms:modified>
</cp:coreProperties>
</file>