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0"/>
        <w:jc w:val="left"/>
        <w:rPr>
          <w:rFonts w:hint="eastAsia" w:ascii="宋体" w:hAnsi="宋体" w:eastAsia="宋体" w:cs="宋体"/>
          <w:b w:val="0"/>
          <w:i w:val="0"/>
          <w:caps w:val="0"/>
          <w:color w:val="333333"/>
          <w:spacing w:val="0"/>
          <w:sz w:val="18"/>
          <w:szCs w:val="18"/>
        </w:rPr>
      </w:pPr>
      <w:bookmarkStart w:id="0" w:name="_GoBack"/>
      <w:r>
        <w:rPr>
          <w:rFonts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福安市人民政府关于印发福安市人才住房保障实施办法（试行）的通知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180" w:lineRule="atLeast"/>
        <w:ind w:left="0" w:right="0" w:firstLine="0"/>
        <w:jc w:val="center"/>
        <w:rPr>
          <w:rFonts w:hint="eastAsia" w:ascii="宋体" w:hAnsi="宋体" w:eastAsia="宋体" w:cs="宋体"/>
          <w:b w:val="0"/>
          <w:i w:val="0"/>
          <w:caps w:val="0"/>
          <w:color w:val="333333"/>
          <w:spacing w:val="0"/>
          <w:sz w:val="18"/>
          <w:szCs w:val="18"/>
        </w:rPr>
      </w:pP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时间：2018-04-04</w:t>
      </w:r>
      <w:r>
        <w:rPr>
          <w:rFonts w:hint="eastAsia" w:ascii="宋体" w:hAnsi="宋体" w:eastAsia="宋体" w:cs="宋体"/>
          <w:b w:val="0"/>
          <w:i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来源：福安市人民政府 字体：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"http://www.fjfa.gov.cn/faszfwz/C031145/C030663/C030909/javascript:doZoom(24)"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b w:val="0"/>
          <w:i w:val="0"/>
          <w:caps w:val="0"/>
          <w:color w:val="999999"/>
          <w:spacing w:val="0"/>
          <w:sz w:val="18"/>
          <w:szCs w:val="18"/>
          <w:u w:val="none"/>
          <w:bdr w:val="none" w:color="auto" w:sz="0" w:space="0"/>
          <w:shd w:val="clear" w:fill="FFFFFF"/>
        </w:rPr>
        <w:t>大</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"http://www.fjfa.gov.cn/faszfwz/C031145/C030663/C030909/javascript:doZoom(16)"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b w:val="0"/>
          <w:i w:val="0"/>
          <w:caps w:val="0"/>
          <w:color w:val="999999"/>
          <w:spacing w:val="0"/>
          <w:sz w:val="18"/>
          <w:szCs w:val="18"/>
          <w:u w:val="none"/>
          <w:bdr w:val="none" w:color="auto" w:sz="0" w:space="0"/>
          <w:shd w:val="clear" w:fill="FFFFFF"/>
        </w:rPr>
        <w:t>中 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"http://www.fjfa.gov.cn/faszfwz/C031145/C030663/C030909/javascript:doZoom(12)"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b w:val="0"/>
          <w:i w:val="0"/>
          <w:caps w:val="0"/>
          <w:color w:val="999999"/>
          <w:spacing w:val="0"/>
          <w:sz w:val="18"/>
          <w:szCs w:val="18"/>
          <w:u w:val="none"/>
          <w:bdr w:val="none" w:color="auto" w:sz="0" w:space="0"/>
          <w:shd w:val="clear" w:fill="FFFFFF"/>
        </w:rPr>
        <w:t>小 </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instrText xml:space="preserve"> HYPERLINK "http://www.fjfa.gov.cn/faszfwz/C031145/C030663/C030909/javascript:doZoom(14)" </w:instrTex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b w:val="0"/>
          <w:i w:val="0"/>
          <w:caps w:val="0"/>
          <w:color w:val="999999"/>
          <w:spacing w:val="0"/>
          <w:sz w:val="18"/>
          <w:szCs w:val="18"/>
          <w:u w:val="none"/>
          <w:bdr w:val="none" w:color="auto" w:sz="0" w:space="0"/>
          <w:shd w:val="clear" w:fill="FFFFFF"/>
        </w:rPr>
        <w:t>默认</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 阅读：</w:t>
      </w:r>
      <w:r>
        <w:rPr>
          <w:rFonts w:hint="eastAsia" w:ascii="宋体" w:hAnsi="宋体" w:eastAsia="宋体" w:cs="宋体"/>
          <w:b w:val="0"/>
          <w:i w:val="0"/>
          <w:caps w:val="0"/>
          <w:color w:val="999999"/>
          <w:spacing w:val="0"/>
          <w:kern w:val="0"/>
          <w:sz w:val="18"/>
          <w:szCs w:val="18"/>
          <w:u w:val="none"/>
          <w:bdr w:val="none" w:color="auto" w:sz="0" w:space="0"/>
          <w:shd w:val="clear" w:fill="FFFFFF"/>
          <w:lang w:val="en-US" w:eastAsia="zh-CN" w:bidi="ar"/>
        </w:rPr>
        <w:t>3</w:t>
      </w:r>
      <w:r>
        <w:rPr>
          <w:rFonts w:hint="eastAsia" w:ascii="宋体" w:hAnsi="宋体" w:eastAsia="宋体" w:cs="宋体"/>
          <w:b w:val="0"/>
          <w:i w:val="0"/>
          <w:caps w:val="0"/>
          <w:color w:val="999999"/>
          <w:spacing w:val="0"/>
          <w:kern w:val="0"/>
          <w:sz w:val="18"/>
          <w:szCs w:val="18"/>
          <w:bdr w:val="none" w:color="auto" w:sz="0" w:space="0"/>
          <w:shd w:val="clear" w:fill="FFFFFF"/>
          <w:lang w:val="en-US" w:eastAsia="zh-CN" w:bidi="ar"/>
        </w:rPr>
        <w:t>次</w:t>
      </w:r>
    </w:p>
    <w:p>
      <w:pPr>
        <w:pStyle w:val="2"/>
        <w:keepNext w:val="0"/>
        <w:keepLines w:val="0"/>
        <w:widowControl/>
        <w:suppressLineNumbers w:val="0"/>
        <w:spacing w:before="450" w:beforeAutospacing="0" w:after="0" w:afterAutospacing="0" w:line="600" w:lineRule="atLeast"/>
        <w:ind w:left="450" w:right="450"/>
      </w:pPr>
      <w:r>
        <w:rPr>
          <w:rFonts w:ascii="仿宋_GB2312" w:hAnsi="宋体" w:eastAsia="仿宋_GB2312" w:cs="仿宋_GB2312"/>
          <w:b w:val="0"/>
          <w:i w:val="0"/>
          <w:caps w:val="0"/>
          <w:color w:val="333333"/>
          <w:spacing w:val="0"/>
          <w:sz w:val="31"/>
          <w:szCs w:val="31"/>
          <w:bdr w:val="none" w:color="auto" w:sz="0" w:space="0"/>
          <w:shd w:val="clear" w:fill="FFFFFF"/>
        </w:rPr>
        <w:t>福安经济开发区管委会、福安畲族经济开发区管委会，各乡镇人民政府、街道办事处，市政府有关部门，各行业协会：</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《福安市人才住房保障实施办法（试行）》已经市政府同意，现印发你们，请认真抓好贯彻执行。</w:t>
      </w:r>
    </w:p>
    <w:p>
      <w:pPr>
        <w:pStyle w:val="2"/>
        <w:keepNext w:val="0"/>
        <w:keepLines w:val="0"/>
        <w:widowControl/>
        <w:suppressLineNumbers w:val="0"/>
        <w:spacing w:before="450" w:beforeAutospacing="0" w:after="0" w:afterAutospacing="0" w:line="600" w:lineRule="atLeast"/>
        <w:ind w:left="450" w:right="450"/>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pacing w:before="450" w:beforeAutospacing="0" w:after="0" w:afterAutospacing="0" w:line="600" w:lineRule="atLeast"/>
        <w:ind w:left="450" w:right="450"/>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pacing w:before="450" w:beforeAutospacing="0" w:after="0" w:afterAutospacing="0" w:line="600" w:lineRule="atLeast"/>
        <w:ind w:left="450" w:right="450" w:firstLine="4965"/>
        <w:jc w:val="right"/>
      </w:pPr>
      <w:r>
        <w:rPr>
          <w:rFonts w:hint="default" w:ascii="仿宋_GB2312" w:hAnsi="宋体" w:eastAsia="仿宋_GB2312" w:cs="仿宋_GB2312"/>
          <w:b w:val="0"/>
          <w:i w:val="0"/>
          <w:caps w:val="0"/>
          <w:color w:val="333333"/>
          <w:spacing w:val="0"/>
          <w:sz w:val="31"/>
          <w:szCs w:val="31"/>
          <w:bdr w:val="none" w:color="auto" w:sz="0" w:space="0"/>
          <w:shd w:val="clear" w:fill="FFFFFF"/>
        </w:rPr>
        <w:t>福安市人民政府</w:t>
      </w:r>
    </w:p>
    <w:p>
      <w:pPr>
        <w:pStyle w:val="2"/>
        <w:keepNext w:val="0"/>
        <w:keepLines w:val="0"/>
        <w:widowControl/>
        <w:suppressLineNumbers w:val="0"/>
        <w:spacing w:before="450" w:beforeAutospacing="0" w:after="0" w:afterAutospacing="0" w:line="600" w:lineRule="atLeast"/>
        <w:ind w:left="450" w:right="450" w:firstLine="4965"/>
        <w:jc w:val="right"/>
      </w:pPr>
      <w:r>
        <w:rPr>
          <w:rFonts w:hint="default" w:ascii="仿宋_GB2312" w:hAnsi="宋体" w:eastAsia="仿宋_GB2312" w:cs="仿宋_GB2312"/>
          <w:b w:val="0"/>
          <w:i w:val="0"/>
          <w:caps w:val="0"/>
          <w:color w:val="333333"/>
          <w:spacing w:val="0"/>
          <w:sz w:val="31"/>
          <w:szCs w:val="31"/>
          <w:bdr w:val="none" w:color="auto" w:sz="0" w:space="0"/>
          <w:shd w:val="clear" w:fill="FFFFFF"/>
        </w:rPr>
        <w:t>2018年4月2日</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（此件主动公开）</w:t>
      </w:r>
    </w:p>
    <w:p>
      <w:pPr>
        <w:pStyle w:val="2"/>
        <w:keepNext w:val="0"/>
        <w:keepLines w:val="0"/>
        <w:widowControl/>
        <w:suppressLineNumbers w:val="0"/>
        <w:spacing w:before="450" w:beforeAutospacing="0" w:after="0" w:afterAutospacing="0" w:line="600" w:lineRule="atLeast"/>
        <w:ind w:left="450" w:right="450"/>
        <w:jc w:val="center"/>
      </w:pPr>
      <w:r>
        <w:rPr>
          <w:rFonts w:ascii="方正小标宋简体" w:hAnsi="方正小标宋简体" w:eastAsia="方正小标宋简体" w:cs="方正小标宋简体"/>
          <w:b w:val="0"/>
          <w:i w:val="0"/>
          <w:caps w:val="0"/>
          <w:color w:val="333333"/>
          <w:spacing w:val="0"/>
          <w:sz w:val="43"/>
          <w:szCs w:val="43"/>
          <w:bdr w:val="none" w:color="auto" w:sz="0" w:space="0"/>
          <w:shd w:val="clear" w:fill="FFFFFF"/>
        </w:rPr>
        <w:t>福安市人才住房保障实施办法（试行）</w:t>
      </w:r>
    </w:p>
    <w:p>
      <w:pPr>
        <w:pStyle w:val="2"/>
        <w:keepNext w:val="0"/>
        <w:keepLines w:val="0"/>
        <w:widowControl/>
        <w:suppressLineNumbers w:val="0"/>
        <w:spacing w:before="450" w:beforeAutospacing="0" w:after="0" w:afterAutospacing="0" w:line="600" w:lineRule="atLeast"/>
        <w:ind w:left="450" w:right="450"/>
        <w:jc w:val="center"/>
      </w:pPr>
      <w:r>
        <w:rPr>
          <w:rFonts w:hint="default" w:ascii="仿宋_GB2312" w:hAnsi="宋体" w:eastAsia="仿宋_GB2312" w:cs="仿宋_GB2312"/>
          <w:b w:val="0"/>
          <w:i w:val="0"/>
          <w:caps w:val="0"/>
          <w:color w:val="333333"/>
          <w:spacing w:val="0"/>
          <w:sz w:val="31"/>
          <w:szCs w:val="31"/>
          <w:bdr w:val="none" w:color="auto" w:sz="0" w:space="0"/>
          <w:shd w:val="clear" w:fill="FFFFFF"/>
        </w:rPr>
        <w:t> </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为大力实施人才强市战略，进一步优化我市人才发展环境，更好集聚各类人才，帮助解决人才的住房困难问题，根据《中共宁德市委 宁德市人民政府关于实施“三都澳人才计划”的意见》《福安市关于支持引进人才培养奖励的六条措施》《福安市公共租赁住房（廉租住房）管理办法》等相关文件精神,特制定本办法。</w:t>
      </w:r>
    </w:p>
    <w:p>
      <w:pPr>
        <w:pStyle w:val="2"/>
        <w:keepNext w:val="0"/>
        <w:keepLines w:val="0"/>
        <w:widowControl/>
        <w:suppressLineNumbers w:val="0"/>
        <w:spacing w:before="450" w:beforeAutospacing="0" w:after="0" w:afterAutospacing="0" w:line="600" w:lineRule="atLeast"/>
        <w:ind w:left="450" w:right="450" w:firstLine="645"/>
      </w:pPr>
      <w:r>
        <w:rPr>
          <w:rFonts w:ascii="黑体" w:hAnsi="宋体" w:eastAsia="黑体" w:cs="黑体"/>
          <w:b w:val="0"/>
          <w:i w:val="0"/>
          <w:caps w:val="0"/>
          <w:color w:val="333333"/>
          <w:spacing w:val="0"/>
          <w:sz w:val="31"/>
          <w:szCs w:val="31"/>
          <w:bdr w:val="none" w:color="auto" w:sz="0" w:space="0"/>
          <w:shd w:val="clear" w:fill="FFFFFF"/>
        </w:rPr>
        <w:t>一、总体要求</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加强人才住房激励和保障工作，是优化我市人才环境的重要举措，要综合运用人才住房保障政策，针对各个层次人才的不同住房需求，把业绩贡献作为解决人才住房问题的重要依据，采用提供人才公寓、发放购房补贴和租房补贴三种方式，多渠道、分层次解决人才住房问题。</w:t>
      </w:r>
    </w:p>
    <w:p>
      <w:pPr>
        <w:pStyle w:val="2"/>
        <w:keepNext w:val="0"/>
        <w:keepLines w:val="0"/>
        <w:widowControl/>
        <w:suppressLineNumbers w:val="0"/>
        <w:spacing w:before="450" w:beforeAutospacing="0" w:after="0" w:afterAutospacing="0" w:line="600"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二、适用对象</w:t>
      </w:r>
    </w:p>
    <w:p>
      <w:pPr>
        <w:pStyle w:val="2"/>
        <w:keepNext w:val="0"/>
        <w:keepLines w:val="0"/>
        <w:widowControl/>
        <w:suppressLineNumbers w:val="0"/>
        <w:spacing w:before="450" w:beforeAutospacing="0" w:after="0" w:afterAutospacing="0" w:line="600" w:lineRule="atLeast"/>
        <w:ind w:left="450" w:right="450" w:firstLine="645"/>
      </w:pPr>
      <w:r>
        <w:rPr>
          <w:rStyle w:val="4"/>
          <w:rFonts w:ascii="楷体_GB2312" w:hAnsi="宋体" w:eastAsia="楷体_GB2312" w:cs="楷体_GB2312"/>
          <w:b w:val="0"/>
          <w:i w:val="0"/>
          <w:caps w:val="0"/>
          <w:color w:val="333333"/>
          <w:spacing w:val="0"/>
          <w:sz w:val="31"/>
          <w:szCs w:val="31"/>
          <w:bdr w:val="none" w:color="auto" w:sz="0" w:space="0"/>
          <w:shd w:val="clear" w:fill="FFFFFF"/>
        </w:rPr>
        <w:t>（一）第一层面</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1.中国科学院院士、中国工程院院士；</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2.国家科学技术奖、专利奖获奖项目前3名主要完成人；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3.承担过国家科技重大专项并取得重大成果的项目组首席技术负责人；</w:t>
      </w:r>
    </w:p>
    <w:p>
      <w:pPr>
        <w:pStyle w:val="2"/>
        <w:keepNext w:val="0"/>
        <w:keepLines w:val="0"/>
        <w:widowControl/>
        <w:suppressLineNumbers w:val="0"/>
        <w:spacing w:before="450" w:beforeAutospacing="0" w:after="0" w:afterAutospacing="0" w:line="600" w:lineRule="atLeast"/>
        <w:ind w:left="450" w:right="450" w:firstLine="615"/>
      </w:pPr>
      <w:r>
        <w:rPr>
          <w:rFonts w:hint="default" w:ascii="仿宋_GB2312" w:hAnsi="宋体" w:eastAsia="仿宋_GB2312" w:cs="仿宋_GB2312"/>
          <w:b w:val="0"/>
          <w:i w:val="0"/>
          <w:caps w:val="0"/>
          <w:color w:val="333333"/>
          <w:spacing w:val="-15"/>
          <w:sz w:val="31"/>
          <w:szCs w:val="31"/>
          <w:bdr w:val="none" w:color="auto" w:sz="0" w:space="0"/>
          <w:shd w:val="clear" w:fill="FFFFFF"/>
        </w:rPr>
        <w:t>4.长江学者、国家杰出青年科学基金获得者等国家级优秀人才；</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5.入选国家“千人计划”“万人计划”的人才；</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6.第一类“天湖人才”；</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7.福建省科学技术重大贡献奖获奖者；</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8.经市委人才工作领导小组确认的相当层次的人才。</w:t>
      </w:r>
    </w:p>
    <w:p>
      <w:pPr>
        <w:pStyle w:val="2"/>
        <w:keepNext w:val="0"/>
        <w:keepLines w:val="0"/>
        <w:widowControl/>
        <w:suppressLineNumbers w:val="0"/>
        <w:spacing w:before="450" w:beforeAutospacing="0" w:after="0" w:afterAutospacing="0" w:line="600" w:lineRule="atLeast"/>
        <w:ind w:left="450" w:right="450" w:firstLine="645"/>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（二）第二层面</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1.享受国务院政府特殊津贴专家、闽江学者；</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2.福建省特殊支持高层次人才“双百计划”人选；</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3.入选省优秀人才“百人计划”人选；</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4.海西产业人才高地领军人才、海西创业英才；</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5.福建省科技进步奖、自然科学奖、技术发明奖、专利奖（发明专利）一等奖前3名主要完成人；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6.承担过国家自然科学基金、国家重点研发计划并取得重大成果的项目组首席技术负责人；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7.承担过福建省重大专项并取得重大成果的项目组首席技术负责人；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8.全国创新创业大赛一等奖项目前3名成员；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9.宁德市科学技术杰出人才重大贡献奖获奖者；</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10.第二、三、四类“天湖人才”；</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11.全日制博士研究生；</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12.取得正高级专业技术职务任职资格的专业技术人员；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13.经市委人才工作领导小组确认的相当层次的人才。</w:t>
      </w:r>
    </w:p>
    <w:p>
      <w:pPr>
        <w:pStyle w:val="2"/>
        <w:keepNext w:val="0"/>
        <w:keepLines w:val="0"/>
        <w:widowControl/>
        <w:suppressLineNumbers w:val="0"/>
        <w:spacing w:before="450" w:beforeAutospacing="0" w:after="0" w:afterAutospacing="0" w:line="600" w:lineRule="atLeast"/>
        <w:ind w:left="450" w:right="450" w:firstLine="645"/>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（三）第三层面</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1.承担过福建省区域发展项目并取得重大成果的项目组首席技术负责人；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2.宁德市科学技术奖一等奖、福建省科技进步奖、自然科学奖、技术发明奖、专利奖（发明专利）二等奖的前3名主要完成人；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3.全国创新创业大赛二等奖、福建省创新创业大赛一等奖项目前3名成员；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4.福建省创业项目评审一等奖的自主创业高校毕业生；</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5.福安市级科学技术杰出人才重大贡献奖获奖者；</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6.经市委人才工作领导小组确认的相当层次的人才。</w:t>
      </w:r>
    </w:p>
    <w:p>
      <w:pPr>
        <w:pStyle w:val="2"/>
        <w:keepNext w:val="0"/>
        <w:keepLines w:val="0"/>
        <w:widowControl/>
        <w:suppressLineNumbers w:val="0"/>
        <w:spacing w:before="450" w:beforeAutospacing="0" w:after="0" w:afterAutospacing="0" w:line="600" w:lineRule="atLeast"/>
        <w:ind w:left="450" w:right="450" w:firstLine="645"/>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（四）第四层面</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1.福安市科学技术奖、专利奖一等奖，宁德市科学技术奖二等奖，福建省科技进步奖、自然科学奖、技术发明奖、专利奖（发明专利）三等奖的前3名主要完成人；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2.全国创新创业大赛三等奖、福建省创新创业大赛二等奖项目前3名成员；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3.福建省创业项目评审二、三等奖的自主创业高校毕业生；</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4.宁德市创业项目评审一等奖的自主创业高校毕业生；</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5.全日制硕士研究生；</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6.取得副高专业技术职务任职资格的人员;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7.取得技师职业资格的人员；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8.第五、六类“天湖人才”；</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9.我市当年受表彰的纳税标兵（大户）企业、龙头企业、领军</w:t>
      </w:r>
      <w:r>
        <w:rPr>
          <w:rFonts w:hint="default" w:ascii="仿宋_GB2312" w:hAnsi="宋体" w:eastAsia="仿宋_GB2312" w:cs="仿宋_GB2312"/>
          <w:b w:val="0"/>
          <w:i w:val="0"/>
          <w:caps w:val="0"/>
          <w:color w:val="333333"/>
          <w:spacing w:val="-15"/>
          <w:sz w:val="31"/>
          <w:szCs w:val="31"/>
          <w:bdr w:val="none" w:color="auto" w:sz="0" w:space="0"/>
          <w:shd w:val="clear" w:fill="FFFFFF"/>
        </w:rPr>
        <w:t>企业、科技创新企业、高新技术企业中具有中级以上职称的人员；</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10.经市委人才工作领导小组确认的相当层次的人才。</w:t>
      </w:r>
    </w:p>
    <w:p>
      <w:pPr>
        <w:pStyle w:val="2"/>
        <w:keepNext w:val="0"/>
        <w:keepLines w:val="0"/>
        <w:widowControl/>
        <w:suppressLineNumbers w:val="0"/>
        <w:spacing w:before="450" w:beforeAutospacing="0" w:after="0" w:afterAutospacing="0" w:line="600"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三、适用条件</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（一）以上相应资格应在2017年5月23日后取得。（引进人才除外）</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（二）申请人本人、配偶及未成年子女在福安无房产且近三年内在福安无房产交易记录。</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（三）申请人未享受过宁德市及本地其他住房补助、生活补助等相关政策。</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四）从2017年5月23日起，与本地企事业单位签订5年（含）以上劳动服务合同或已签订劳动服务合同的剩余服务年限达5年(含)以上，第二、三、四层面应在我市连续缴纳社会保险1年（含）以上，属于引进人才的，每年须在我市工作6个月（含）以上。</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（五）第三层面和第四层面人才，年龄在男50周岁（含）以下、女45周岁（含）以下。</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（六）符合规定的人才，应无不良诚信记录、无违纪违法行为。</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（七）上述各类人才不含公务员和参公人员。</w:t>
      </w:r>
    </w:p>
    <w:p>
      <w:pPr>
        <w:pStyle w:val="2"/>
        <w:keepNext w:val="0"/>
        <w:keepLines w:val="0"/>
        <w:widowControl/>
        <w:suppressLineNumbers w:val="0"/>
        <w:spacing w:before="450" w:beforeAutospacing="0" w:after="0" w:afterAutospacing="0" w:line="600"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四、人才住房保障方式</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人才住房保障方式为提供人才公寓、发放购房补贴和租房补贴三种，不得同时享受。</w:t>
      </w:r>
    </w:p>
    <w:p>
      <w:pPr>
        <w:pStyle w:val="2"/>
        <w:keepNext w:val="0"/>
        <w:keepLines w:val="0"/>
        <w:widowControl/>
        <w:suppressLineNumbers w:val="0"/>
        <w:spacing w:before="450" w:beforeAutospacing="0" w:after="0" w:afterAutospacing="0" w:line="600" w:lineRule="atLeast"/>
        <w:ind w:left="450" w:right="450" w:firstLine="645"/>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（一）人才公寓</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市政府逐年从建设成熟的公共租赁房中划出一定的比例作为市人才公寓。同时鼓励人才相对集中的企事业单位、行业系统及产业园区等各种社会力量投资建设人才公寓，就地、就近解决各类人才住房困难问题。第一层面、第二层面人才居住面积控制在130平方米以内，第三层面人才居住面积控制在80平方米以内，第四层面人才居住面积控制在50平方米以内。</w:t>
      </w:r>
    </w:p>
    <w:p>
      <w:pPr>
        <w:pStyle w:val="2"/>
        <w:keepNext w:val="0"/>
        <w:keepLines w:val="0"/>
        <w:widowControl/>
        <w:suppressLineNumbers w:val="0"/>
        <w:spacing w:before="450" w:beforeAutospacing="0" w:after="0" w:afterAutospacing="0" w:line="600" w:lineRule="atLeast"/>
        <w:ind w:left="450" w:right="450" w:firstLine="645"/>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（二）购房补贴</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第一层面、第二层面人才，给予所购房屋总价的30%资助（不超过60万元），第三层面人才，给予所购房屋总价的20%资助（不超过30万元），第四层面人才，给予所购房屋总价的10%资助（不超过15万元），购房补助款从购房年度起由市财政分5年等比例兑现，以满一周年为期发放。</w:t>
      </w:r>
    </w:p>
    <w:p>
      <w:pPr>
        <w:pStyle w:val="2"/>
        <w:keepNext w:val="0"/>
        <w:keepLines w:val="0"/>
        <w:widowControl/>
        <w:suppressLineNumbers w:val="0"/>
        <w:spacing w:before="450" w:beforeAutospacing="0" w:after="0" w:afterAutospacing="0" w:line="600" w:lineRule="atLeast"/>
        <w:ind w:left="450" w:right="450" w:firstLine="645"/>
      </w:pPr>
      <w:r>
        <w:rPr>
          <w:rStyle w:val="4"/>
          <w:rFonts w:hint="default" w:ascii="楷体_GB2312" w:hAnsi="宋体" w:eastAsia="楷体_GB2312" w:cs="楷体_GB2312"/>
          <w:b w:val="0"/>
          <w:i w:val="0"/>
          <w:caps w:val="0"/>
          <w:color w:val="333333"/>
          <w:spacing w:val="0"/>
          <w:sz w:val="31"/>
          <w:szCs w:val="31"/>
          <w:bdr w:val="none" w:color="auto" w:sz="0" w:space="0"/>
          <w:shd w:val="clear" w:fill="FFFFFF"/>
        </w:rPr>
        <w:t>（三）租房补贴</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给予每平方米10元/月的租房补贴（其中租住公租房的人才，给予每平方米6元/月的租房补贴）。第一层面、第二层面人才，租房补贴面积不超过120平方米；第三层面人才，租房补贴面积不超过60平方米；第四层面人才，租房补贴面积不超过40平方米，以满一周年为期发放。</w:t>
      </w:r>
    </w:p>
    <w:p>
      <w:pPr>
        <w:pStyle w:val="2"/>
        <w:keepNext w:val="0"/>
        <w:keepLines w:val="0"/>
        <w:widowControl/>
        <w:suppressLineNumbers w:val="0"/>
        <w:spacing w:before="450" w:beforeAutospacing="0" w:after="0" w:afterAutospacing="0" w:line="600" w:lineRule="atLeast"/>
        <w:ind w:left="450" w:right="450" w:firstLine="645"/>
      </w:pPr>
      <w:r>
        <w:rPr>
          <w:rFonts w:hint="eastAsia" w:ascii="黑体" w:hAnsi="宋体" w:eastAsia="黑体" w:cs="黑体"/>
          <w:b w:val="0"/>
          <w:i w:val="0"/>
          <w:caps w:val="0"/>
          <w:color w:val="333333"/>
          <w:spacing w:val="0"/>
          <w:sz w:val="31"/>
          <w:szCs w:val="31"/>
          <w:bdr w:val="none" w:color="auto" w:sz="0" w:space="0"/>
          <w:shd w:val="clear" w:fill="FFFFFF"/>
        </w:rPr>
        <w:t>五、组织管理</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市委人才工作领导小组负责组织实施本办法；市人社局负责各类人才认定及具体实施工作；市房管局负责提供和安排人才公寓房源、人才公寓日常管理（委托物业公司进行管理），并提供申请人在福安住房及房产交易情况；市财政局负责落实人才公寓建设、购（租）房补贴等资金；市科技局负责核实人才所获科技荣誉、科技成果。</w:t>
      </w:r>
    </w:p>
    <w:p>
      <w:pPr>
        <w:pStyle w:val="2"/>
        <w:keepNext w:val="0"/>
        <w:keepLines w:val="0"/>
        <w:widowControl/>
        <w:suppressLineNumbers w:val="0"/>
        <w:spacing w:before="450" w:beforeAutospacing="0" w:after="0" w:afterAutospacing="0" w:line="600" w:lineRule="atLeast"/>
        <w:ind w:left="450" w:right="450" w:firstLine="645"/>
      </w:pPr>
      <w:r>
        <w:rPr>
          <w:rFonts w:hint="default" w:ascii="仿宋_GB2312" w:hAnsi="宋体" w:eastAsia="仿宋_GB2312" w:cs="仿宋_GB2312"/>
          <w:b w:val="0"/>
          <w:i w:val="0"/>
          <w:caps w:val="0"/>
          <w:color w:val="333333"/>
          <w:spacing w:val="0"/>
          <w:sz w:val="31"/>
          <w:szCs w:val="31"/>
          <w:bdr w:val="none" w:color="auto" w:sz="0" w:space="0"/>
          <w:shd w:val="clear" w:fill="FFFFFF"/>
        </w:rPr>
        <w:t>对套取相关补助、弄虚作假、未按合同执行的人员，将其相关情况列入个人诚信档案，由其服务单位负责如数追回相应补助款，并严肃追究单位以及相关人员的相应责任。本办法中的补助政策与本市有关政策重叠的，按照“就高、从优、不重复”的原则执行，与上级有关政策重叠的，按照“就高、从优、不重复”的原则先落实上级政策，再给予补差额。本办法自印发之日起试行，有效期至2020年12月31日，本办法具体解释工作由市委组织部、市住建局、市房管局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4E75"/>
    <w:rsid w:val="50E94E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2018-06-06T06:32:00Z</dcterms:created>
  <dc:creator>lenovo</dc:creator>
  <cp:lastModifiedBy>lenovo</cp:lastModifiedBy>
  <dcterms:modified xsi:type="dcterms:W3CDTF">2018-06-06T06:33:02Z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