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b/>
          <w:bCs/>
          <w:color w:val="033266"/>
          <w:kern w:val="0"/>
          <w:szCs w:val="21"/>
          <w:bdr w:val="none" w:sz="0" w:space="0" w:color="auto" w:frame="1"/>
        </w:rPr>
        <w:t>一、土地政策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根据国家对新建项目</w:t>
      </w:r>
      <w:hyperlink r:id="rId4" w:tgtFrame="_blank" w:history="1">
        <w:r w:rsidRPr="0074677E">
          <w:rPr>
            <w:rFonts w:ascii="微软雅黑" w:eastAsia="微软雅黑" w:hAnsi="微软雅黑" w:cs="Arial" w:hint="eastAsia"/>
            <w:color w:val="CC0000"/>
            <w:kern w:val="0"/>
            <w:szCs w:val="21"/>
            <w:bdr w:val="none" w:sz="0" w:space="0" w:color="auto" w:frame="1"/>
          </w:rPr>
          <w:t>投资</w:t>
        </w:r>
      </w:hyperlink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强度和</w:t>
      </w:r>
      <w:hyperlink r:id="rId5" w:tgtFrame="_blank" w:history="1">
        <w:r w:rsidRPr="0074677E">
          <w:rPr>
            <w:rFonts w:ascii="微软雅黑" w:eastAsia="微软雅黑" w:hAnsi="微软雅黑" w:cs="Arial" w:hint="eastAsia"/>
            <w:color w:val="CC0000"/>
            <w:kern w:val="0"/>
            <w:szCs w:val="21"/>
            <w:bdr w:val="none" w:sz="0" w:space="0" w:color="auto" w:frame="1"/>
          </w:rPr>
          <w:t>建筑</w:t>
        </w:r>
      </w:hyperlink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容积率的要求，对固定资产投资在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5000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万元以上的生产加工型项目提供相应面积的建设用地，性质为国有出让，使用年限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年。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、固定资产投资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5000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—1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(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含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)</w:t>
      </w:r>
      <w:r w:rsidRPr="0074677E">
        <w:rPr>
          <w:rFonts w:ascii="Arial" w:eastAsia="宋体" w:hAnsi="Arial" w:cs="Arial"/>
          <w:color w:val="033266"/>
          <w:spacing w:val="-12"/>
          <w:kern w:val="0"/>
          <w:szCs w:val="21"/>
          <w:bdr w:val="none" w:sz="0" w:space="0" w:color="auto" w:frame="1"/>
        </w:rPr>
        <w:t>的，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原则提供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2—3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万平方米土地，综合地价原则执行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80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/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平方米标准；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、固定资产投资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—2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(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含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)</w:t>
      </w:r>
      <w:r w:rsidRPr="0074677E">
        <w:rPr>
          <w:rFonts w:ascii="Arial" w:eastAsia="宋体" w:hAnsi="Arial" w:cs="Arial"/>
          <w:color w:val="033266"/>
          <w:spacing w:val="-10"/>
          <w:kern w:val="0"/>
          <w:szCs w:val="21"/>
          <w:bdr w:val="none" w:sz="0" w:space="0" w:color="auto" w:frame="1"/>
        </w:rPr>
        <w:t>的，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原则提供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3—4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万平方米土地，综合地价原则执行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70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/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平方米标准；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3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、固定资产投资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亿元以上的，原则提供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4—5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万平方米土地，综合地价原则执行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60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元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/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平方米标准；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4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、对投资规模大、建立专项工业园的项目，给予特殊政策。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27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二、税收政策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、固定资产投资在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5000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万元至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亿元（含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亿元）的项目，自投产之日起两年内企业所得税地方分成部分、增值税地方留成部分的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50%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由财政部门奖励给企业用于扶持企业基础设施建设或扩大再生产；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、固定资产投资在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亿元至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亿元（含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亿元）的项目，自投产之日起三年内企业所得税地方分成部分、增值税地方留成部分的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50%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由财政部门奖励给企业用于扶持企业基础设施建设或扩大再生产；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3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、固定资产投资在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亿元以上的项目，自投产之日起五年内企业所得税地方分成部分、增值税地方留成部分的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50%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由财政部门奖励给企业用于扶持企业基础设施建设或扩大再生产。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三、收费政策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lastRenderedPageBreak/>
        <w:t>拟建企业在合同约定建设期内地方行政性收费免收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(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工本费除外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)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，经营性收费按低限收取。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38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spacing w:val="2"/>
          <w:kern w:val="0"/>
          <w:szCs w:val="21"/>
          <w:bdr w:val="none" w:sz="0" w:space="0" w:color="auto" w:frame="1"/>
        </w:rPr>
        <w:t>四、特殊政策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3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对投资规模大、科技含量高、经济效益好的项目，由县</w:t>
      </w:r>
      <w:hyperlink r:id="rId6" w:tgtFrame="_blank" w:history="1">
        <w:r w:rsidRPr="0074677E">
          <w:rPr>
            <w:rFonts w:ascii="微软雅黑" w:eastAsia="微软雅黑" w:hAnsi="微软雅黑" w:cs="Arial" w:hint="eastAsia"/>
            <w:color w:val="CC0000"/>
            <w:kern w:val="0"/>
            <w:szCs w:val="21"/>
            <w:bdr w:val="none" w:sz="0" w:space="0" w:color="auto" w:frame="1"/>
          </w:rPr>
          <w:t>招商引资</w:t>
        </w:r>
      </w:hyperlink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工作领导小组审核，确定给予特殊政策。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8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spacing w:val="2"/>
          <w:kern w:val="0"/>
          <w:szCs w:val="21"/>
          <w:bdr w:val="none" w:sz="0" w:space="0" w:color="auto" w:frame="1"/>
        </w:rPr>
        <w:t>五、扶持政策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1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、投资于农副产品深加工项目，固定资产投资额度达到上级规定标准，地方政府可为其申报农副产品深加工龙头企业。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、企业年纳税额超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2000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万元的，自企业投产之日起，可为其申报财源建设项目。</w:t>
      </w:r>
    </w:p>
    <w:p w:rsidR="0074677E" w:rsidRPr="0074677E" w:rsidRDefault="0074677E" w:rsidP="0074677E">
      <w:pPr>
        <w:widowControl/>
        <w:shd w:val="clear" w:color="auto" w:fill="FFFFFF"/>
        <w:spacing w:line="640" w:lineRule="atLeast"/>
        <w:ind w:firstLine="640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3</w:t>
      </w:r>
      <w:r w:rsidRPr="0074677E">
        <w:rPr>
          <w:rFonts w:ascii="Arial" w:eastAsia="宋体" w:hAnsi="Arial" w:cs="Arial"/>
          <w:color w:val="033266"/>
          <w:kern w:val="0"/>
          <w:szCs w:val="21"/>
          <w:bdr w:val="none" w:sz="0" w:space="0" w:color="auto" w:frame="1"/>
        </w:rPr>
        <w:t>、企业建成后，可协调金融部门以土地、厂房、设备作抵押给予贷款解决流动资金不足。</w:t>
      </w:r>
      <w:r w:rsidRPr="0074677E">
        <w:rPr>
          <w:rFonts w:ascii="Arial" w:eastAsia="宋体" w:hAnsi="Arial" w:cs="Arial"/>
          <w:b/>
          <w:bCs/>
          <w:color w:val="033266"/>
          <w:kern w:val="0"/>
          <w:szCs w:val="21"/>
          <w:bdr w:val="none" w:sz="0" w:space="0" w:color="auto" w:frame="1"/>
        </w:rPr>
        <w:t> </w:t>
      </w:r>
    </w:p>
    <w:p w:rsidR="001D5AC4" w:rsidRDefault="001D5AC4">
      <w:bookmarkStart w:id="0" w:name="_GoBack"/>
      <w:bookmarkEnd w:id="0"/>
    </w:p>
    <w:sectPr w:rsidR="001D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3A"/>
    <w:rsid w:val="001D5AC4"/>
    <w:rsid w:val="00403A3A"/>
    <w:rsid w:val="007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8321F-E27F-4FA5-8979-0F0D2563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" TargetMode="External"/><Relationship Id="rId5" Type="http://schemas.openxmlformats.org/officeDocument/2006/relationships/hyperlink" Target="http://zgsxzs.cn/industry/1072.html" TargetMode="External"/><Relationship Id="rId4" Type="http://schemas.openxmlformats.org/officeDocument/2006/relationships/hyperlink" Target="http://www.zgsxzs.com/list-121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sxx</dc:creator>
  <cp:keywords/>
  <dc:description/>
  <cp:lastModifiedBy>sxx</cp:lastModifiedBy>
  <cp:revision>3</cp:revision>
  <dcterms:created xsi:type="dcterms:W3CDTF">2018-05-22T10:57:00Z</dcterms:created>
  <dcterms:modified xsi:type="dcterms:W3CDTF">2018-05-22T10:58:00Z</dcterms:modified>
</cp:coreProperties>
</file>