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07" w:rsidRPr="00FE3707" w:rsidRDefault="00FE3707" w:rsidP="00FE3707">
      <w:pPr>
        <w:widowControl/>
        <w:shd w:val="clear" w:color="auto" w:fill="FFFFFF"/>
        <w:jc w:val="center"/>
        <w:outlineLvl w:val="2"/>
        <w:rPr>
          <w:rFonts w:ascii="微软雅黑" w:eastAsia="微软雅黑" w:hAnsi="微软雅黑" w:cs="宋体"/>
          <w:color w:val="000000"/>
          <w:kern w:val="0"/>
          <w:sz w:val="27"/>
          <w:szCs w:val="27"/>
        </w:rPr>
      </w:pPr>
      <w:r w:rsidRPr="00FE3707">
        <w:rPr>
          <w:rFonts w:ascii="微软雅黑" w:eastAsia="微软雅黑" w:hAnsi="微软雅黑" w:cs="宋体" w:hint="eastAsia"/>
          <w:color w:val="000000"/>
          <w:kern w:val="0"/>
          <w:sz w:val="27"/>
          <w:szCs w:val="27"/>
        </w:rPr>
        <w:t>太原市人民政府办公厅关于印发太原市科技创新券实施管理暂行办法的通知</w:t>
      </w:r>
    </w:p>
    <w:p w:rsidR="00FE3707" w:rsidRPr="00FE3707" w:rsidRDefault="00FE3707" w:rsidP="00FE3707">
      <w:pPr>
        <w:widowControl/>
        <w:shd w:val="clear" w:color="auto" w:fill="F8F8F8"/>
        <w:spacing w:line="600" w:lineRule="atLeast"/>
        <w:jc w:val="center"/>
        <w:rPr>
          <w:rFonts w:ascii="simsun" w:eastAsia="宋体" w:hAnsi="simsun" w:cs="宋体" w:hint="eastAsia"/>
          <w:color w:val="000000"/>
          <w:kern w:val="0"/>
          <w:sz w:val="20"/>
          <w:szCs w:val="20"/>
        </w:rPr>
      </w:pPr>
      <w:r w:rsidRPr="00FE3707">
        <w:rPr>
          <w:rFonts w:ascii="simsun" w:eastAsia="宋体" w:hAnsi="simsun" w:cs="宋体"/>
          <w:color w:val="000000"/>
          <w:kern w:val="0"/>
          <w:sz w:val="20"/>
          <w:szCs w:val="20"/>
        </w:rPr>
        <w:t>字体大小：</w:t>
      </w:r>
      <w:r w:rsidRPr="00FE3707">
        <w:rPr>
          <w:rFonts w:ascii="simsun" w:eastAsia="宋体" w:hAnsi="simsun" w:cs="宋体"/>
          <w:color w:val="000000"/>
          <w:kern w:val="0"/>
          <w:sz w:val="20"/>
          <w:szCs w:val="20"/>
        </w:rPr>
        <w:t>[ </w:t>
      </w:r>
      <w:r w:rsidRPr="00FE3707">
        <w:rPr>
          <w:rFonts w:ascii="simsun" w:eastAsia="宋体" w:hAnsi="simsun" w:cs="宋体"/>
          <w:color w:val="000000"/>
          <w:kern w:val="0"/>
          <w:sz w:val="20"/>
          <w:szCs w:val="20"/>
        </w:rPr>
        <w:t>大</w:t>
      </w:r>
      <w:r w:rsidRPr="00FE3707">
        <w:rPr>
          <w:rFonts w:ascii="simsun" w:eastAsia="宋体" w:hAnsi="simsun" w:cs="宋体"/>
          <w:color w:val="000000"/>
          <w:kern w:val="0"/>
          <w:sz w:val="20"/>
          <w:szCs w:val="20"/>
        </w:rPr>
        <w:t> </w:t>
      </w:r>
      <w:r w:rsidRPr="00FE3707">
        <w:rPr>
          <w:rFonts w:ascii="simsun" w:eastAsia="宋体" w:hAnsi="simsun" w:cs="宋体"/>
          <w:color w:val="000000"/>
          <w:kern w:val="0"/>
          <w:sz w:val="20"/>
          <w:szCs w:val="20"/>
        </w:rPr>
        <w:t>中</w:t>
      </w:r>
      <w:r w:rsidRPr="00FE3707">
        <w:rPr>
          <w:rFonts w:ascii="simsun" w:eastAsia="宋体" w:hAnsi="simsun" w:cs="宋体"/>
          <w:color w:val="000000"/>
          <w:kern w:val="0"/>
          <w:sz w:val="20"/>
          <w:szCs w:val="20"/>
        </w:rPr>
        <w:t> </w:t>
      </w:r>
      <w:r w:rsidRPr="00FE3707">
        <w:rPr>
          <w:rFonts w:ascii="simsun" w:eastAsia="宋体" w:hAnsi="simsun" w:cs="宋体"/>
          <w:color w:val="000000"/>
          <w:kern w:val="0"/>
          <w:sz w:val="20"/>
          <w:szCs w:val="20"/>
        </w:rPr>
        <w:t>小</w:t>
      </w:r>
      <w:r w:rsidRPr="00FE3707">
        <w:rPr>
          <w:rFonts w:ascii="simsun" w:eastAsia="宋体" w:hAnsi="simsun" w:cs="宋体"/>
          <w:color w:val="000000"/>
          <w:kern w:val="0"/>
          <w:sz w:val="20"/>
          <w:szCs w:val="20"/>
        </w:rPr>
        <w:t xml:space="preserve"> ] </w:t>
      </w:r>
      <w:r w:rsidRPr="00FE3707">
        <w:rPr>
          <w:rFonts w:ascii="simsun" w:eastAsia="宋体" w:hAnsi="simsun" w:cs="宋体"/>
          <w:color w:val="000000"/>
          <w:kern w:val="0"/>
          <w:sz w:val="20"/>
          <w:szCs w:val="20"/>
        </w:rPr>
        <w:t>浏览次数：</w:t>
      </w:r>
      <w:r w:rsidRPr="00FE3707">
        <w:rPr>
          <w:rFonts w:ascii="simsun" w:eastAsia="宋体" w:hAnsi="simsun" w:cs="宋体"/>
          <w:color w:val="000000"/>
          <w:kern w:val="0"/>
          <w:sz w:val="20"/>
          <w:szCs w:val="20"/>
        </w:rPr>
        <w:t> 270 </w:t>
      </w:r>
      <w:hyperlink r:id="rId4" w:history="1">
        <w:r w:rsidRPr="00FE3707">
          <w:rPr>
            <w:rFonts w:ascii="simsun" w:eastAsia="宋体" w:hAnsi="simsun" w:cs="宋体"/>
            <w:color w:val="000000"/>
            <w:kern w:val="0"/>
            <w:sz w:val="20"/>
            <w:szCs w:val="20"/>
          </w:rPr>
          <w:t>全文下载</w:t>
        </w:r>
      </w:hyperlink>
    </w:p>
    <w:tbl>
      <w:tblPr>
        <w:tblW w:w="4500" w:type="pct"/>
        <w:jc w:val="center"/>
        <w:tblBorders>
          <w:top w:val="single" w:sz="6" w:space="0" w:color="DFDFDF"/>
          <w:left w:val="single" w:sz="6" w:space="0" w:color="DFDFDF"/>
          <w:bottom w:val="single" w:sz="6" w:space="0" w:color="DFDFDF"/>
          <w:right w:val="single" w:sz="6" w:space="0" w:color="DFDFDF"/>
        </w:tblBorders>
        <w:tblCellMar>
          <w:top w:w="90" w:type="dxa"/>
          <w:left w:w="90" w:type="dxa"/>
          <w:bottom w:w="90" w:type="dxa"/>
          <w:right w:w="90" w:type="dxa"/>
        </w:tblCellMar>
        <w:tblLook w:val="04A0" w:firstRow="1" w:lastRow="0" w:firstColumn="1" w:lastColumn="0" w:noHBand="0" w:noVBand="1"/>
      </w:tblPr>
      <w:tblGrid>
        <w:gridCol w:w="1120"/>
        <w:gridCol w:w="2611"/>
        <w:gridCol w:w="1119"/>
        <w:gridCol w:w="2611"/>
      </w:tblGrid>
      <w:tr w:rsidR="00FE3707" w:rsidRPr="00FE3707" w:rsidTr="00FE3707">
        <w:trPr>
          <w:jc w:val="center"/>
        </w:trPr>
        <w:tc>
          <w:tcPr>
            <w:tcW w:w="750" w:type="pct"/>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信息索引号</w:t>
            </w:r>
          </w:p>
        </w:tc>
        <w:tc>
          <w:tcPr>
            <w:tcW w:w="1750" w:type="pct"/>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012187001/2017-01869</w:t>
            </w:r>
          </w:p>
        </w:tc>
        <w:tc>
          <w:tcPr>
            <w:tcW w:w="750" w:type="pct"/>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发布时间</w:t>
            </w:r>
          </w:p>
        </w:tc>
        <w:tc>
          <w:tcPr>
            <w:tcW w:w="1750" w:type="pct"/>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2017-12-29</w:t>
            </w:r>
          </w:p>
        </w:tc>
      </w:tr>
      <w:tr w:rsidR="00FE3707" w:rsidRPr="00FE3707" w:rsidTr="00FE3707">
        <w:trPr>
          <w:jc w:val="center"/>
        </w:trPr>
        <w:tc>
          <w:tcPr>
            <w:tcW w:w="0" w:type="auto"/>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发布机构</w:t>
            </w:r>
          </w:p>
        </w:tc>
        <w:tc>
          <w:tcPr>
            <w:tcW w:w="0" w:type="auto"/>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市政府办公厅</w:t>
            </w:r>
          </w:p>
        </w:tc>
        <w:tc>
          <w:tcPr>
            <w:tcW w:w="0" w:type="auto"/>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文号</w:t>
            </w:r>
          </w:p>
        </w:tc>
        <w:tc>
          <w:tcPr>
            <w:tcW w:w="0" w:type="auto"/>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p>
        </w:tc>
      </w:tr>
      <w:tr w:rsidR="00FE3707" w:rsidRPr="00FE3707" w:rsidTr="00FE3707">
        <w:trPr>
          <w:jc w:val="center"/>
        </w:trPr>
        <w:tc>
          <w:tcPr>
            <w:tcW w:w="0" w:type="auto"/>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主题词</w:t>
            </w:r>
          </w:p>
        </w:tc>
        <w:tc>
          <w:tcPr>
            <w:tcW w:w="0" w:type="auto"/>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科技</w:t>
            </w:r>
          </w:p>
        </w:tc>
        <w:tc>
          <w:tcPr>
            <w:tcW w:w="0" w:type="auto"/>
            <w:tcBorders>
              <w:top w:val="single" w:sz="6" w:space="0" w:color="DFDFDF"/>
              <w:left w:val="single" w:sz="6" w:space="0" w:color="DFDFDF"/>
              <w:bottom w:val="single" w:sz="6" w:space="0" w:color="DFDFDF"/>
              <w:right w:val="single" w:sz="6" w:space="0" w:color="DFDFDF"/>
            </w:tcBorders>
            <w:shd w:val="clear" w:color="auto" w:fill="F2F4F7"/>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体裁</w:t>
            </w:r>
          </w:p>
        </w:tc>
        <w:tc>
          <w:tcPr>
            <w:tcW w:w="0" w:type="auto"/>
            <w:tcBorders>
              <w:top w:val="single" w:sz="6" w:space="0" w:color="DFDFDF"/>
              <w:left w:val="single" w:sz="6" w:space="0" w:color="DFDFDF"/>
              <w:bottom w:val="single" w:sz="6" w:space="0" w:color="DFDFDF"/>
              <w:right w:val="single" w:sz="6" w:space="0" w:color="DFDFDF"/>
            </w:tcBorders>
            <w:shd w:val="clear" w:color="auto" w:fill="auto"/>
            <w:tcMar>
              <w:top w:w="150" w:type="dxa"/>
              <w:left w:w="150" w:type="dxa"/>
              <w:bottom w:w="150" w:type="dxa"/>
              <w:right w:w="150" w:type="dxa"/>
            </w:tcMar>
            <w:vAlign w:val="center"/>
            <w:hideMark/>
          </w:tcPr>
          <w:p w:rsidR="00FE3707" w:rsidRPr="00FE3707" w:rsidRDefault="00FE3707" w:rsidP="00FE3707">
            <w:pPr>
              <w:widowControl/>
              <w:jc w:val="left"/>
              <w:rPr>
                <w:rFonts w:ascii="宋体" w:eastAsia="宋体" w:hAnsi="宋体" w:cs="宋体"/>
                <w:color w:val="555555"/>
                <w:kern w:val="0"/>
                <w:sz w:val="24"/>
                <w:szCs w:val="24"/>
              </w:rPr>
            </w:pPr>
            <w:r w:rsidRPr="00FE3707">
              <w:rPr>
                <w:rFonts w:ascii="宋体" w:eastAsia="宋体" w:hAnsi="宋体" w:cs="宋体"/>
                <w:color w:val="555555"/>
                <w:kern w:val="0"/>
                <w:sz w:val="24"/>
                <w:szCs w:val="24"/>
              </w:rPr>
              <w:t>通知</w:t>
            </w:r>
          </w:p>
        </w:tc>
      </w:tr>
    </w:tbl>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太原市人民政府办公厅</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关于印发太原市科技创新券实施管理</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暂行办法的通知</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left"/>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各县（市、区）人民政府，综改示范区、不锈钢园区管委会，市直各委、局、办，各有关单位：</w:t>
      </w:r>
    </w:p>
    <w:p w:rsidR="00FE3707" w:rsidRPr="00FE3707" w:rsidRDefault="00FE3707" w:rsidP="00FE3707">
      <w:pPr>
        <w:widowControl/>
        <w:shd w:val="clear" w:color="auto" w:fill="FFFFFF"/>
        <w:spacing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《太原市科技创新券实施管理暂行办法》已经市人民政府同意，现印发给你们，请认真组织实施。</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太原市人民政府办公厅</w:t>
      </w:r>
    </w:p>
    <w:p w:rsidR="00FE3707" w:rsidRPr="00FE3707" w:rsidRDefault="00FE3707" w:rsidP="00FE3707">
      <w:pPr>
        <w:widowControl/>
        <w:shd w:val="clear" w:color="auto" w:fill="FFFFFF"/>
        <w:spacing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2017年12月18日</w:t>
      </w:r>
    </w:p>
    <w:p w:rsidR="00FE3707" w:rsidRPr="00FE3707" w:rsidRDefault="00FE3707" w:rsidP="00FE3707">
      <w:pPr>
        <w:widowControl/>
        <w:shd w:val="clear" w:color="auto" w:fill="FFFFFF"/>
        <w:spacing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（此件公开发布）</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lastRenderedPageBreak/>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太原市科技创新券实施管理暂行办法</w:t>
      </w:r>
    </w:p>
    <w:p w:rsidR="00FE3707" w:rsidRPr="00FE3707" w:rsidRDefault="00FE3707" w:rsidP="00FE3707">
      <w:pPr>
        <w:widowControl/>
        <w:shd w:val="clear" w:color="auto" w:fill="FFFFFF"/>
        <w:spacing w:after="225" w:line="360" w:lineRule="atLeast"/>
        <w:jc w:val="center"/>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第一章</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总</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则</w:t>
      </w:r>
    </w:p>
    <w:p w:rsidR="00FE3707" w:rsidRPr="00FE3707" w:rsidRDefault="00FE3707" w:rsidP="00FE3707">
      <w:pPr>
        <w:widowControl/>
        <w:shd w:val="clear" w:color="auto" w:fill="FFFFFF"/>
        <w:spacing w:after="225" w:line="360" w:lineRule="atLeast"/>
        <w:jc w:val="left"/>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第一条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为推动省城优势科技资源开放共享，降低中小微企业和创新创业团队、创新创业者（以下统称“创客”）创新成本，激发科技创新活力，营造大众创业、万众创新的良好氛围，根据省委、省政府有关文件精神，市政府决定实施科技创新券（以下简称“创新券”）制度。</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第二条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本办法所称科技创新券，是指政府财政资金用于支持我市中小微企业和创客充分利用省城科技资源，开展科技创新活动而设计发行的权益凭证。</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第三条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创新券的使用和管理遵循国家有关法律法规和财务规章制度，遵循公开普惠、自愿申请、事后补助、专款专用原则。</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lastRenderedPageBreak/>
        <w:t>第四条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市科技、财政管理部门是创新券组织实施的主管部门，负责制定创新券实施政策，统筹确定发放额度，落实安排专项资金，研究创新券实施过程中的有关重大事项以及创新券实施情况的监督检查和绩效评价。各县（市、区）、开发区科技管理部门负责创新劵组织申领、兑现、具体实施和跟踪服务。市科技管理部门负责研究确定创新券日常运行管理机构，日常运行管理机构负责创新券发放和兑现的资料审核、宣传培训、使用情况汇总报告等日常运行工作。</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第二章</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支持对象与范围</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第五条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创新券申领使用方：</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（一）在太原行政区域内注册，并具有独立法人资格，且符合《中小企业划型标准规定》（工信部联企业〔2011〕300号）的中小微企业。</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（二）入驻经政府有关部门备案或认定的众创空间、科技企业孵化器、小企业创业基地、商贸企业集聚区、微型企业孵化园等创新创业载体内的创客。</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第六条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创新活动提供服务方：</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太原行政区域内的高校、科研院所（工研院），市级以上（含市级）工程技术中心、实验室、企业技术中心、科技</w:t>
      </w:r>
      <w:r w:rsidRPr="00FE3707">
        <w:rPr>
          <w:rFonts w:ascii="宋体" w:eastAsia="宋体" w:hAnsi="宋体" w:cs="Arial" w:hint="eastAsia"/>
          <w:color w:val="444444"/>
          <w:kern w:val="0"/>
          <w:sz w:val="32"/>
          <w:szCs w:val="32"/>
          <w:bdr w:val="none" w:sz="0" w:space="0" w:color="auto" w:frame="1"/>
        </w:rPr>
        <w:lastRenderedPageBreak/>
        <w:t>基础条件平台和创新创业载体等，须在创新券管理系统注册，公布服务内容和服务规范。</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第七条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创新券使用范围：</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（一）在科技创新活动中，利用省级科技资源开放共享网络管理服务平台等信息资源，向高等院校、科研院所及各类创新平台基地购买测试检测、科学数据、科技查新、生物（种质）资源等创新服务。</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（二）与省内高等院校、科研院所及创新平台基地开展合作研发。</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（三）企业和创客购买除以上两类服务外的其他研究开发、技术转移、检验检测认证、创业孵化、知识产权、科技咨询、科技金融、科学技术普及、企业创新能力提升的专业科技服务和综合科技服务。</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按照法律法规或强制性标准要求必须开展的检测活动、工业设计类服务等不纳入支持范围。</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第三章</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申领、发放、使用与兑现</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第八条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市科技管理部门定期发布创新券申领兑付指南，在太原科技信息网和创新券管理系统发布，明确该期创新券申请、受理、发放和兑现的具体要求。</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lastRenderedPageBreak/>
        <w:t>第九条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各县（市、区）、开发区科技管理部门组织企业和创客申报。企业申请创新券需在创新券管理系统中填报相关信息进行注册，创客由所在创新创业载体统一申请。创新券日常运行管理机构对企业和创客注册信息进行审核，审核通过后即发放创新券。创新券仅限于申领企业和创客使用，不得转让、买卖、赠送。</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企业和创客领取创新券后应在规定有效期内使用，过期自动作废。企业和创客使用创新券开展科技创新活动时，自行商定服务内容、服务时间、服务费用等相关事宜并签订研发或服务合同（协议），支付服务费用，留存相关支付凭证。</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合同（协议）双方应无任何投资与被投资、隶属、共建、产权纽带等影响公平公正市场交易的关联关系。</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第十一条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企业在相关科技创新活动完成后，将研发或服务合同（协议）、支付凭证、服务结果等有关证明材料上传创新券管理系统申请兑现，并通知服务提供方或合作研发方通过系统进行确认，实现创新券绑定。</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第十二条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创新券日常运行管理机构采取分批或定期处理等方式，对系统上传材料和相关证明材料原件进行审核，报市科技管理部门研究确定拟兑现名单和金额。审定结果在太原科技信息网和创新券管理系统公示，公示期不少于5个</w:t>
      </w:r>
      <w:r w:rsidRPr="00FE3707">
        <w:rPr>
          <w:rFonts w:ascii="宋体" w:eastAsia="宋体" w:hAnsi="宋体" w:cs="Arial" w:hint="eastAsia"/>
          <w:color w:val="444444"/>
          <w:kern w:val="0"/>
          <w:sz w:val="32"/>
          <w:szCs w:val="32"/>
          <w:bdr w:val="none" w:sz="0" w:space="0" w:color="auto" w:frame="1"/>
        </w:rPr>
        <w:lastRenderedPageBreak/>
        <w:t>工作日。公示无异议后，由市财政管理部门拨付兑现资金至各县（市、区）、开发区。</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第十三条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兑现申请累计额度在5万元以内的，按实际发生费用进行补助；累计额度超过5万元的，超出部分按指南通知的比例进行补助，每家企业每年度创新券补助总额省市合计不超过20万元。企业和创客不得以同一创新活动内容向市级政府部门重复申报奖补资金。</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第四章</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绩效评价和监督管理</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第十四条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市科技、财政管理部门会同对全市创新券实施情况进行监督检查和绩效评价，将年度绩效自评报告按要求报省科技厅和省财政厅，同时接受省科技厅和省财政厅等有关部门的监督检查和绩效考评。</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第十五条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企业和创客应严格按照财务规章制度和会计核算办法使用创新券，自觉接受科技、财政、审计等部门的监督检查。对创新券实施过程中弄虚作假、套取财政资金的企业和创客，3年内不再给予各类财政科技资金支持，构成犯罪的依法追究刑事责任。</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jc w:val="center"/>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第五章</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附</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则</w:t>
      </w:r>
    </w:p>
    <w:p w:rsidR="00FE3707" w:rsidRPr="00FE3707" w:rsidRDefault="00FE3707" w:rsidP="00FE3707">
      <w:pPr>
        <w:widowControl/>
        <w:shd w:val="clear" w:color="auto" w:fill="FFFFFF"/>
        <w:spacing w:after="225" w:line="360" w:lineRule="atLeast"/>
        <w:ind w:firstLine="640"/>
        <w:rPr>
          <w:rFonts w:ascii="Arial" w:eastAsia="宋体" w:hAnsi="Arial" w:cs="Arial"/>
          <w:color w:val="444444"/>
          <w:kern w:val="0"/>
          <w:szCs w:val="21"/>
        </w:rPr>
      </w:pPr>
      <w:r w:rsidRPr="00FE3707">
        <w:rPr>
          <w:rFonts w:ascii="Arial" w:eastAsia="宋体" w:hAnsi="Arial" w:cs="Arial"/>
          <w:color w:val="444444"/>
          <w:kern w:val="0"/>
          <w:szCs w:val="21"/>
        </w:rPr>
        <w:t> </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lastRenderedPageBreak/>
        <w:t>第十六条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鼓励各县（市）区、开发区参照本办法设立科技创新券，制定相关管理办法和实施方案。</w:t>
      </w:r>
    </w:p>
    <w:p w:rsidR="00FE3707" w:rsidRPr="00FE3707" w:rsidRDefault="00FE3707" w:rsidP="00FE3707">
      <w:pPr>
        <w:widowControl/>
        <w:shd w:val="clear" w:color="auto" w:fill="FFFFFF"/>
        <w:spacing w:line="360" w:lineRule="atLeast"/>
        <w:ind w:firstLine="640"/>
        <w:rPr>
          <w:rFonts w:ascii="Arial" w:eastAsia="宋体" w:hAnsi="Arial" w:cs="Arial"/>
          <w:color w:val="444444"/>
          <w:kern w:val="0"/>
          <w:szCs w:val="21"/>
        </w:rPr>
      </w:pPr>
      <w:r w:rsidRPr="00FE3707">
        <w:rPr>
          <w:rFonts w:ascii="宋体" w:eastAsia="宋体" w:hAnsi="宋体" w:cs="Arial" w:hint="eastAsia"/>
          <w:color w:val="444444"/>
          <w:kern w:val="0"/>
          <w:sz w:val="32"/>
          <w:szCs w:val="32"/>
          <w:bdr w:val="none" w:sz="0" w:space="0" w:color="auto" w:frame="1"/>
        </w:rPr>
        <w:t>第十七条</w:t>
      </w:r>
      <w:r w:rsidRPr="00FE3707">
        <w:rPr>
          <w:rFonts w:ascii="Arial" w:eastAsia="宋体" w:hAnsi="Arial" w:cs="Arial"/>
          <w:color w:val="444444"/>
          <w:kern w:val="0"/>
          <w:szCs w:val="21"/>
        </w:rPr>
        <w:t>  </w:t>
      </w:r>
      <w:r w:rsidRPr="00FE3707">
        <w:rPr>
          <w:rFonts w:ascii="宋体" w:eastAsia="宋体" w:hAnsi="宋体" w:cs="Arial" w:hint="eastAsia"/>
          <w:color w:val="444444"/>
          <w:kern w:val="0"/>
          <w:sz w:val="32"/>
          <w:szCs w:val="32"/>
          <w:bdr w:val="none" w:sz="0" w:space="0" w:color="auto" w:frame="1"/>
        </w:rPr>
        <w:t>本办法由市科技局负责解释，自发布之日起施行。</w:t>
      </w:r>
    </w:p>
    <w:p w:rsidR="00BF3D49" w:rsidRPr="00FE3707" w:rsidRDefault="00BF3D49">
      <w:bookmarkStart w:id="0" w:name="_GoBack"/>
      <w:bookmarkEnd w:id="0"/>
    </w:p>
    <w:sectPr w:rsidR="00BF3D49" w:rsidRPr="00FE3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E0"/>
    <w:rsid w:val="00657FE0"/>
    <w:rsid w:val="00BF3D49"/>
    <w:rsid w:val="00FE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0F77F-122E-49CD-973E-270047DB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E37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E3707"/>
    <w:rPr>
      <w:rFonts w:ascii="宋体" w:eastAsia="宋体" w:hAnsi="宋体" w:cs="宋体"/>
      <w:b/>
      <w:bCs/>
      <w:kern w:val="0"/>
      <w:sz w:val="27"/>
      <w:szCs w:val="27"/>
    </w:rPr>
  </w:style>
  <w:style w:type="paragraph" w:customStyle="1" w:styleId="date">
    <w:name w:val="date"/>
    <w:basedOn w:val="a"/>
    <w:rsid w:val="00FE3707"/>
    <w:pPr>
      <w:widowControl/>
      <w:spacing w:before="100" w:beforeAutospacing="1" w:after="100" w:afterAutospacing="1"/>
      <w:jc w:val="left"/>
    </w:pPr>
    <w:rPr>
      <w:rFonts w:ascii="宋体" w:eastAsia="宋体" w:hAnsi="宋体" w:cs="宋体"/>
      <w:kern w:val="0"/>
      <w:sz w:val="24"/>
      <w:szCs w:val="24"/>
    </w:rPr>
  </w:style>
  <w:style w:type="character" w:customStyle="1" w:styleId="big">
    <w:name w:val="big"/>
    <w:basedOn w:val="a0"/>
    <w:rsid w:val="00FE3707"/>
  </w:style>
  <w:style w:type="character" w:customStyle="1" w:styleId="middle">
    <w:name w:val="middle"/>
    <w:basedOn w:val="a0"/>
    <w:rsid w:val="00FE3707"/>
  </w:style>
  <w:style w:type="character" w:customStyle="1" w:styleId="small">
    <w:name w:val="small"/>
    <w:basedOn w:val="a0"/>
    <w:rsid w:val="00FE3707"/>
  </w:style>
  <w:style w:type="character" w:styleId="a3">
    <w:name w:val="Hyperlink"/>
    <w:basedOn w:val="a0"/>
    <w:uiPriority w:val="99"/>
    <w:semiHidden/>
    <w:unhideWhenUsed/>
    <w:rsid w:val="00FE3707"/>
    <w:rPr>
      <w:color w:val="0000FF"/>
      <w:u w:val="single"/>
    </w:rPr>
  </w:style>
  <w:style w:type="paragraph" w:styleId="a4">
    <w:name w:val="Normal (Web)"/>
    <w:basedOn w:val="a"/>
    <w:uiPriority w:val="99"/>
    <w:semiHidden/>
    <w:unhideWhenUsed/>
    <w:rsid w:val="00FE37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79798">
      <w:bodyDiv w:val="1"/>
      <w:marLeft w:val="0"/>
      <w:marRight w:val="0"/>
      <w:marTop w:val="0"/>
      <w:marBottom w:val="0"/>
      <w:divBdr>
        <w:top w:val="none" w:sz="0" w:space="0" w:color="auto"/>
        <w:left w:val="none" w:sz="0" w:space="0" w:color="auto"/>
        <w:bottom w:val="none" w:sz="0" w:space="0" w:color="auto"/>
        <w:right w:val="none" w:sz="0" w:space="0" w:color="auto"/>
      </w:divBdr>
      <w:divsChild>
        <w:div w:id="1207645153">
          <w:marLeft w:val="0"/>
          <w:marRight w:val="0"/>
          <w:marTop w:val="300"/>
          <w:marBottom w:val="0"/>
          <w:divBdr>
            <w:top w:val="none" w:sz="0" w:space="0" w:color="auto"/>
            <w:left w:val="none" w:sz="0" w:space="0" w:color="auto"/>
            <w:bottom w:val="none" w:sz="0" w:space="0" w:color="auto"/>
            <w:right w:val="none" w:sz="0" w:space="0" w:color="auto"/>
          </w:divBdr>
        </w:div>
        <w:div w:id="1758162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iyuan.gov.cn/doc/2017/12/29/183470.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379</Words>
  <Characters>2162</Characters>
  <Application>Microsoft Office Word</Application>
  <DocSecurity>0</DocSecurity>
  <Lines>18</Lines>
  <Paragraphs>5</Paragraphs>
  <ScaleCrop>false</ScaleCrop>
  <Company>微软中国</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2018-09-12T08:31:00Z</dcterms:created>
  <dcterms:modified xsi:type="dcterms:W3CDTF">2018-09-12T08:31:00Z</dcterms:modified>
</cp:coreProperties>
</file>