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wordWrap w:val="0"/>
        <w:jc w:val="right"/>
        <w:rPr>
          <w:rFonts w:ascii="方正楷体简体" w:hAnsi="华文楷体" w:eastAsia="方正楷体简体"/>
          <w:bCs/>
          <w:smallCaps/>
          <w:color w:val="000000"/>
          <w:spacing w:val="5"/>
          <w:sz w:val="34"/>
          <w:szCs w:val="24"/>
        </w:rPr>
      </w:pPr>
    </w:p>
    <w:p>
      <w:pPr>
        <w:widowControl/>
        <w:spacing w:after="100" w:afterAutospacing="1" w:line="600" w:lineRule="exact"/>
        <w:contextualSpacing/>
        <w:jc w:val="center"/>
        <w:outlineLvl w:val="0"/>
        <w:rPr>
          <w:rFonts w:ascii="方正小标宋_GBK" w:hAnsi="Arial" w:eastAsia="方正小标宋_GBK" w:cs="Arial"/>
          <w:bCs/>
          <w:color w:val="000000" w:themeColor="text1"/>
          <w:kern w:val="36"/>
          <w:sz w:val="44"/>
          <w:szCs w:val="44"/>
          <w14:textFill>
            <w14:solidFill>
              <w14:schemeClr w14:val="tx1"/>
            </w14:solidFill>
          </w14:textFill>
        </w:rPr>
      </w:pPr>
      <w:r>
        <w:rPr>
          <w:rFonts w:hint="eastAsia" w:ascii="方正小标宋_GBK" w:hAnsi="Arial" w:eastAsia="方正小标宋_GBK" w:cs="Arial"/>
          <w:bCs/>
          <w:color w:val="000000" w:themeColor="text1"/>
          <w:kern w:val="36"/>
          <w:sz w:val="44"/>
          <w:szCs w:val="44"/>
          <w14:textFill>
            <w14:solidFill>
              <w14:schemeClr w14:val="tx1"/>
            </w14:solidFill>
          </w14:textFill>
        </w:rPr>
        <w:t>济南市加快数字经济和先进制造业</w:t>
      </w:r>
    </w:p>
    <w:p>
      <w:pPr>
        <w:widowControl/>
        <w:spacing w:after="100" w:afterAutospacing="1" w:line="600" w:lineRule="exact"/>
        <w:contextualSpacing/>
        <w:jc w:val="center"/>
        <w:outlineLvl w:val="0"/>
        <w:rPr>
          <w:rFonts w:ascii="方正小标宋_GBK" w:hAnsi="Arial" w:eastAsia="方正小标宋_GBK" w:cs="Arial"/>
          <w:bCs/>
          <w:color w:val="000000" w:themeColor="text1"/>
          <w:kern w:val="36"/>
          <w:sz w:val="44"/>
          <w:szCs w:val="44"/>
          <w14:textFill>
            <w14:solidFill>
              <w14:schemeClr w14:val="tx1"/>
            </w14:solidFill>
          </w14:textFill>
        </w:rPr>
      </w:pPr>
      <w:bookmarkStart w:id="0" w:name="_GoBack"/>
      <w:r>
        <w:rPr>
          <w:rFonts w:hint="eastAsia" w:ascii="方正小标宋_GBK" w:hAnsi="Arial" w:eastAsia="方正小标宋_GBK" w:cs="Arial"/>
          <w:bCs/>
          <w:color w:val="000000" w:themeColor="text1"/>
          <w:kern w:val="36"/>
          <w:sz w:val="44"/>
          <w:szCs w:val="44"/>
          <w14:textFill>
            <w14:solidFill>
              <w14:schemeClr w14:val="tx1"/>
            </w14:solidFill>
          </w14:textFill>
        </w:rPr>
        <w:t>发展的若干</w:t>
      </w:r>
      <w:r>
        <w:rPr>
          <w:rFonts w:ascii="方正小标宋_GBK" w:hAnsi="Arial" w:eastAsia="方正小标宋_GBK" w:cs="Arial"/>
          <w:bCs/>
          <w:color w:val="000000" w:themeColor="text1"/>
          <w:kern w:val="36"/>
          <w:sz w:val="44"/>
          <w:szCs w:val="44"/>
          <w14:textFill>
            <w14:solidFill>
              <w14:schemeClr w14:val="tx1"/>
            </w14:solidFill>
          </w14:textFill>
        </w:rPr>
        <w:t>政策</w:t>
      </w:r>
      <w:r>
        <w:rPr>
          <w:rFonts w:hint="eastAsia" w:ascii="方正小标宋_GBK" w:hAnsi="Arial" w:eastAsia="方正小标宋_GBK" w:cs="Arial"/>
          <w:bCs/>
          <w:color w:val="000000" w:themeColor="text1"/>
          <w:kern w:val="36"/>
          <w:sz w:val="44"/>
          <w:szCs w:val="44"/>
          <w14:textFill>
            <w14:solidFill>
              <w14:schemeClr w14:val="tx1"/>
            </w14:solidFill>
          </w14:textFill>
        </w:rPr>
        <w:t>措施</w:t>
      </w:r>
      <w:bookmarkEnd w:id="0"/>
    </w:p>
    <w:p>
      <w:pPr>
        <w:widowControl/>
        <w:spacing w:after="100" w:afterAutospacing="1" w:line="600" w:lineRule="exact"/>
        <w:contextualSpacing/>
        <w:jc w:val="center"/>
        <w:outlineLvl w:val="0"/>
        <w:rPr>
          <w:rFonts w:ascii="方正小标宋_GBK" w:hAnsi="Arial" w:eastAsia="方正小标宋_GBK" w:cs="Arial"/>
          <w:bCs/>
          <w:color w:val="000000" w:themeColor="text1"/>
          <w:kern w:val="36"/>
          <w:sz w:val="44"/>
          <w:szCs w:val="44"/>
          <w14:textFill>
            <w14:solidFill>
              <w14:schemeClr w14:val="tx1"/>
            </w14:solidFill>
          </w14:textFill>
        </w:rPr>
      </w:pPr>
      <w:r>
        <w:rPr>
          <w:rFonts w:hint="eastAsia" w:ascii="楷体_GB2312" w:hAnsi="楷体" w:eastAsia="楷体_GB2312" w:cs="Arial"/>
          <w:color w:val="000000" w:themeColor="text1"/>
          <w:kern w:val="0"/>
          <w:sz w:val="32"/>
          <w:szCs w:val="32"/>
          <w14:textFill>
            <w14:solidFill>
              <w14:schemeClr w14:val="tx1"/>
            </w14:solidFill>
          </w14:textFill>
        </w:rPr>
        <w:t>（征求意见稿）</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为深入贯彻制造强国、网络强国战略，推进数字济南、智慧泉城建设，以信息化驱动现代化，加快推进数字产业化和产业数字化，大力发展新一代信息技术，大力发展先进制造业，着力推进信息化和工业化深度融合，培育一批行业领先领军企业，促进我市数字经济和先进制造业高端高质高效发展，根据</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国家数字经济发展战略纲要</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山东省新旧动能转换重大工程实施规划》</w:t>
      </w:r>
      <w:r>
        <w:rPr>
          <w:rFonts w:ascii="仿宋_GB2312" w:hAnsi="Arial" w:eastAsia="仿宋_GB2312" w:cs="Arial"/>
          <w:color w:val="000000" w:themeColor="text1"/>
          <w:kern w:val="0"/>
          <w:sz w:val="32"/>
          <w:szCs w:val="32"/>
          <w14:textFill>
            <w14:solidFill>
              <w14:schemeClr w14:val="tx1"/>
            </w14:solidFill>
          </w14:textFill>
        </w:rPr>
        <w:t>等政策文件，结合我市实际，</w:t>
      </w:r>
      <w:r>
        <w:rPr>
          <w:rFonts w:hint="eastAsia" w:ascii="仿宋_GB2312" w:hAnsi="Arial" w:eastAsia="仿宋_GB2312" w:cs="Arial"/>
          <w:color w:val="000000" w:themeColor="text1"/>
          <w:kern w:val="0"/>
          <w:sz w:val="32"/>
          <w:szCs w:val="32"/>
          <w14:textFill>
            <w14:solidFill>
              <w14:schemeClr w14:val="tx1"/>
            </w14:solidFill>
          </w14:textFill>
        </w:rPr>
        <w:t>制定以下政策措施。</w:t>
      </w:r>
    </w:p>
    <w:p>
      <w:pPr>
        <w:widowControl/>
        <w:spacing w:line="600" w:lineRule="exact"/>
        <w:ind w:firstLine="640" w:firstLineChars="200"/>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一、培育壮大</w:t>
      </w:r>
      <w:r>
        <w:rPr>
          <w:rFonts w:ascii="黑体" w:hAnsi="黑体" w:eastAsia="黑体" w:cs="Arial"/>
          <w:color w:val="000000" w:themeColor="text1"/>
          <w:kern w:val="0"/>
          <w:sz w:val="32"/>
          <w:szCs w:val="32"/>
          <w14:textFill>
            <w14:solidFill>
              <w14:schemeClr w14:val="tx1"/>
            </w14:solidFill>
          </w14:textFill>
        </w:rPr>
        <w:t>市场主体</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1、支持优势骨干企业做强做优做大。对主营业务收入首次突破1000亿元、500亿元、200亿元、100亿元、50亿元、30亿元、10亿元的法人企业，分别给予1000万元、800万元、</w:t>
      </w:r>
      <w:r>
        <w:rPr>
          <w:rFonts w:ascii="仿宋_GB2312" w:hAnsi="Arial" w:eastAsia="仿宋_GB2312" w:cs="Arial"/>
          <w:color w:val="000000" w:themeColor="text1"/>
          <w:kern w:val="0"/>
          <w:sz w:val="32"/>
          <w:szCs w:val="32"/>
          <w14:textFill>
            <w14:solidFill>
              <w14:schemeClr w14:val="tx1"/>
            </w14:solidFill>
          </w14:textFill>
        </w:rPr>
        <w:t>5</w:t>
      </w:r>
      <w:r>
        <w:rPr>
          <w:rFonts w:hint="eastAsia" w:ascii="仿宋_GB2312" w:hAnsi="Arial" w:eastAsia="仿宋_GB2312" w:cs="Arial"/>
          <w:color w:val="000000" w:themeColor="text1"/>
          <w:kern w:val="0"/>
          <w:sz w:val="32"/>
          <w:szCs w:val="32"/>
          <w14:textFill>
            <w14:solidFill>
              <w14:schemeClr w14:val="tx1"/>
            </w14:solidFill>
          </w14:textFill>
        </w:rPr>
        <w:t>00万元、</w:t>
      </w:r>
      <w:r>
        <w:rPr>
          <w:rFonts w:ascii="仿宋_GB2312" w:hAnsi="Arial" w:eastAsia="仿宋_GB2312" w:cs="Arial"/>
          <w:color w:val="000000" w:themeColor="text1"/>
          <w:kern w:val="0"/>
          <w:sz w:val="32"/>
          <w:szCs w:val="32"/>
          <w14:textFill>
            <w14:solidFill>
              <w14:schemeClr w14:val="tx1"/>
            </w14:solidFill>
          </w14:textFill>
        </w:rPr>
        <w:t>3</w:t>
      </w:r>
      <w:r>
        <w:rPr>
          <w:rFonts w:hint="eastAsia" w:ascii="仿宋_GB2312" w:hAnsi="Arial" w:eastAsia="仿宋_GB2312" w:cs="Arial"/>
          <w:color w:val="000000" w:themeColor="text1"/>
          <w:kern w:val="0"/>
          <w:sz w:val="32"/>
          <w:szCs w:val="32"/>
          <w14:textFill>
            <w14:solidFill>
              <w14:schemeClr w14:val="tx1"/>
            </w14:solidFill>
          </w14:textFill>
        </w:rPr>
        <w:t>00万元、200万元、100万元、50万元的奖励。对首次入选“世界500强”“中国500强”“中国电子信息100强”“中国软件100强”的企业，分别给予1000万元、300万元、200万元、200万元的奖励。对</w:t>
      </w:r>
      <w:r>
        <w:rPr>
          <w:rFonts w:hint="eastAsia" w:ascii="仿宋_GB2312" w:eastAsia="仿宋_GB2312"/>
          <w:sz w:val="32"/>
          <w:szCs w:val="32"/>
        </w:rPr>
        <w:t>新增规模以上工业企业，分三年共给予6</w:t>
      </w:r>
      <w:r>
        <w:rPr>
          <w:rFonts w:ascii="仿宋_GB2312" w:eastAsia="仿宋_GB2312"/>
          <w:sz w:val="32"/>
          <w:szCs w:val="32"/>
        </w:rPr>
        <w:t>0</w:t>
      </w:r>
      <w:r>
        <w:rPr>
          <w:rFonts w:hint="eastAsia" w:ascii="仿宋_GB2312" w:eastAsia="仿宋_GB2312"/>
          <w:sz w:val="32"/>
          <w:szCs w:val="32"/>
        </w:rPr>
        <w:t>万元奖励，第一年给予30万元，第二年给予20万元，第三年给予10万元。</w:t>
      </w:r>
    </w:p>
    <w:p>
      <w:pPr>
        <w:widowControl/>
        <w:spacing w:line="600" w:lineRule="exact"/>
        <w:ind w:firstLine="640" w:firstLineChars="200"/>
        <w:rPr>
          <w:rFonts w:ascii="仿宋_GB2312" w:hAnsi="仿宋" w:eastAsia="仿宋_GB2312" w:cs="方正仿宋_GBK"/>
          <w:sz w:val="32"/>
          <w:szCs w:val="32"/>
        </w:rPr>
      </w:pPr>
      <w:r>
        <w:rPr>
          <w:rFonts w:ascii="仿宋_GB2312" w:hAnsi="Arial" w:eastAsia="仿宋_GB2312" w:cs="Arial"/>
          <w:color w:val="000000" w:themeColor="text1"/>
          <w:kern w:val="0"/>
          <w:sz w:val="32"/>
          <w:szCs w:val="32"/>
          <w14:textFill>
            <w14:solidFill>
              <w14:schemeClr w14:val="tx1"/>
            </w14:solidFill>
          </w14:textFill>
        </w:rPr>
        <w:t>2</w:t>
      </w:r>
      <w:r>
        <w:rPr>
          <w:rFonts w:hint="eastAsia" w:ascii="仿宋_GB2312" w:hAnsi="Arial" w:eastAsia="仿宋_GB2312" w:cs="Arial"/>
          <w:color w:val="000000" w:themeColor="text1"/>
          <w:kern w:val="0"/>
          <w:sz w:val="32"/>
          <w:szCs w:val="32"/>
          <w14:textFill>
            <w14:solidFill>
              <w14:schemeClr w14:val="tx1"/>
            </w14:solidFill>
          </w14:textFill>
        </w:rPr>
        <w:t>、支持中小微企业加快发展。大力发展新技术、新产业、新业态、新模式，促进企业“专精特新”发展。对新认定的全国制造业“单项冠军”示范企业、培育企业、山东省制造业“单项冠军”企业，一次性分别奖励200万元、100万元、50万元；对新认定的</w:t>
      </w:r>
      <w:r>
        <w:rPr>
          <w:rFonts w:hint="eastAsia" w:ascii="仿宋_GB2312" w:hAnsi="Arial" w:eastAsia="仿宋_GB2312" w:cs="Arial"/>
          <w:kern w:val="0"/>
          <w:sz w:val="32"/>
          <w:szCs w:val="32"/>
        </w:rPr>
        <w:t>全国、全省中小企业“隐形冠军”企业，一次性分别奖励200万元、100万元；对新认定的“独角兽”企业，一次性奖励300万元；</w:t>
      </w:r>
      <w:r>
        <w:rPr>
          <w:rFonts w:hint="eastAsia" w:ascii="仿宋_GB2312" w:hAnsi="仿宋" w:eastAsia="仿宋_GB2312"/>
          <w:sz w:val="32"/>
          <w:szCs w:val="32"/>
        </w:rPr>
        <w:t>对新认定的省、市级瞪羚企业，一次性奖励50万、20万元</w:t>
      </w:r>
      <w:r>
        <w:rPr>
          <w:rFonts w:hint="eastAsia" w:ascii="仿宋_GB2312" w:hAnsi="Arial" w:eastAsia="仿宋_GB2312" w:cs="Arial"/>
          <w:kern w:val="0"/>
          <w:sz w:val="32"/>
          <w:szCs w:val="32"/>
        </w:rPr>
        <w:t>；对新认定的省、市级“专精特新”中小企业，分别一次性奖励30万元、10万元；</w:t>
      </w:r>
      <w:r>
        <w:rPr>
          <w:rFonts w:hint="eastAsia" w:ascii="仿宋_GB2312" w:hAnsi="仿宋" w:eastAsia="仿宋_GB2312" w:cs="方正仿宋_GBK"/>
          <w:sz w:val="32"/>
          <w:szCs w:val="32"/>
        </w:rPr>
        <w:t>对新认定的省、市级“一企一技术”研发中心和创新企业，分别一次性奖励50万元、20万元。</w:t>
      </w:r>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3、积极引进行业领先领军企业。突出以商招商和产业链招商，引进大数据、云计算、软件和</w:t>
      </w:r>
      <w:r>
        <w:rPr>
          <w:rFonts w:hint="eastAsia" w:ascii="仿宋_GB2312" w:hAnsi="仿宋_GB2312" w:eastAsia="仿宋_GB2312" w:cs="仿宋_GB2312"/>
          <w:color w:val="000000" w:themeColor="text1"/>
          <w:sz w:val="32"/>
          <w:szCs w:val="32"/>
          <w14:textFill>
            <w14:solidFill>
              <w14:schemeClr w14:val="tx1"/>
            </w14:solidFill>
          </w14:textFill>
        </w:rPr>
        <w:t>集成</w:t>
      </w:r>
      <w:r>
        <w:rPr>
          <w:rFonts w:ascii="仿宋_GB2312" w:hAnsi="仿宋_GB2312" w:eastAsia="仿宋_GB2312" w:cs="仿宋_GB2312"/>
          <w:color w:val="000000" w:themeColor="text1"/>
          <w:sz w:val="32"/>
          <w:szCs w:val="32"/>
          <w14:textFill>
            <w14:solidFill>
              <w14:schemeClr w14:val="tx1"/>
            </w14:solidFill>
          </w14:textFill>
        </w:rPr>
        <w:t>电路、</w:t>
      </w:r>
      <w:r>
        <w:rPr>
          <w:rFonts w:hint="eastAsia" w:ascii="仿宋_GB2312" w:hAnsi="Arial" w:eastAsia="仿宋_GB2312" w:cs="Arial"/>
          <w:color w:val="000000" w:themeColor="text1"/>
          <w:kern w:val="0"/>
          <w:sz w:val="32"/>
          <w:szCs w:val="32"/>
          <w14:textFill>
            <w14:solidFill>
              <w14:schemeClr w14:val="tx1"/>
            </w14:solidFill>
          </w14:textFill>
        </w:rPr>
        <w:t>人工智能、机器人、高端装备、</w:t>
      </w:r>
      <w:r>
        <w:rPr>
          <w:rFonts w:hint="eastAsia" w:ascii="仿宋_GB2312" w:hAnsi="仿宋_GB2312" w:eastAsia="仿宋_GB2312" w:cs="仿宋_GB2312"/>
          <w:color w:val="000000" w:themeColor="text1"/>
          <w:sz w:val="32"/>
          <w:szCs w:val="32"/>
          <w14:textFill>
            <w14:solidFill>
              <w14:schemeClr w14:val="tx1"/>
            </w14:solidFill>
          </w14:textFill>
        </w:rPr>
        <w:t>新能源汽车、智能终端、智能</w:t>
      </w:r>
      <w:r>
        <w:rPr>
          <w:rFonts w:ascii="仿宋_GB2312" w:hAnsi="仿宋_GB2312" w:eastAsia="仿宋_GB2312" w:cs="仿宋_GB2312"/>
          <w:color w:val="000000" w:themeColor="text1"/>
          <w:sz w:val="32"/>
          <w:szCs w:val="32"/>
          <w14:textFill>
            <w14:solidFill>
              <w14:schemeClr w14:val="tx1"/>
            </w14:solidFill>
          </w14:textFill>
        </w:rPr>
        <w:t>家电</w:t>
      </w:r>
      <w:r>
        <w:rPr>
          <w:rFonts w:hint="eastAsia" w:ascii="仿宋_GB2312" w:hAnsi="仿宋_GB2312" w:eastAsia="仿宋_GB2312" w:cs="仿宋_GB2312"/>
          <w:color w:val="000000" w:themeColor="text1"/>
          <w:sz w:val="32"/>
          <w:szCs w:val="32"/>
          <w14:textFill>
            <w14:solidFill>
              <w14:schemeClr w14:val="tx1"/>
            </w14:solidFill>
          </w14:textFill>
        </w:rPr>
        <w:t>、生物医药及医疗器械、先进</w:t>
      </w:r>
      <w:r>
        <w:rPr>
          <w:rFonts w:ascii="仿宋_GB2312" w:hAnsi="仿宋_GB2312" w:eastAsia="仿宋_GB2312" w:cs="仿宋_GB2312"/>
          <w:color w:val="000000" w:themeColor="text1"/>
          <w:sz w:val="32"/>
          <w:szCs w:val="32"/>
          <w14:textFill>
            <w14:solidFill>
              <w14:schemeClr w14:val="tx1"/>
            </w14:solidFill>
          </w14:textFill>
        </w:rPr>
        <w:t>材料、</w:t>
      </w:r>
      <w:r>
        <w:rPr>
          <w:rFonts w:hint="eastAsia" w:ascii="仿宋_GB2312" w:hAnsi="仿宋_GB2312" w:eastAsia="仿宋_GB2312" w:cs="仿宋_GB2312"/>
          <w:color w:val="000000" w:themeColor="text1"/>
          <w:sz w:val="32"/>
          <w:szCs w:val="32"/>
          <w14:textFill>
            <w14:solidFill>
              <w14:schemeClr w14:val="tx1"/>
            </w14:solidFill>
          </w14:textFill>
        </w:rPr>
        <w:t>绿色</w:t>
      </w:r>
      <w:r>
        <w:rPr>
          <w:rFonts w:ascii="仿宋_GB2312" w:hAnsi="仿宋_GB2312" w:eastAsia="仿宋_GB2312" w:cs="仿宋_GB2312"/>
          <w:color w:val="000000" w:themeColor="text1"/>
          <w:sz w:val="32"/>
          <w:szCs w:val="32"/>
          <w14:textFill>
            <w14:solidFill>
              <w14:schemeClr w14:val="tx1"/>
            </w14:solidFill>
          </w14:textFill>
        </w:rPr>
        <w:t>化工等</w:t>
      </w:r>
      <w:r>
        <w:rPr>
          <w:rFonts w:hint="eastAsia" w:ascii="仿宋_GB2312" w:hAnsi="仿宋_GB2312" w:eastAsia="仿宋_GB2312" w:cs="仿宋_GB2312"/>
          <w:color w:val="000000" w:themeColor="text1"/>
          <w:sz w:val="32"/>
          <w:szCs w:val="32"/>
          <w14:textFill>
            <w14:solidFill>
              <w14:schemeClr w14:val="tx1"/>
            </w14:solidFill>
          </w14:textFill>
        </w:rPr>
        <w:t>高端</w:t>
      </w:r>
      <w:r>
        <w:rPr>
          <w:rFonts w:ascii="仿宋_GB2312" w:hAnsi="仿宋_GB2312" w:eastAsia="仿宋_GB2312" w:cs="仿宋_GB2312"/>
          <w:color w:val="000000" w:themeColor="text1"/>
          <w:sz w:val="32"/>
          <w:szCs w:val="32"/>
          <w14:textFill>
            <w14:solidFill>
              <w14:schemeClr w14:val="tx1"/>
            </w14:solidFill>
          </w14:textFill>
        </w:rPr>
        <w:t>产业。</w:t>
      </w:r>
      <w:r>
        <w:rPr>
          <w:rFonts w:hint="eastAsia" w:ascii="仿宋_GB2312" w:hAnsi="仿宋_GB2312" w:eastAsia="仿宋_GB2312" w:cs="仿宋_GB2312"/>
          <w:color w:val="000000" w:themeColor="text1"/>
          <w:sz w:val="32"/>
          <w:szCs w:val="32"/>
          <w14:textFill>
            <w14:solidFill>
              <w14:schemeClr w14:val="tx1"/>
            </w14:solidFill>
          </w14:textFill>
        </w:rPr>
        <w:t>对实缴注册</w:t>
      </w:r>
      <w:r>
        <w:rPr>
          <w:rFonts w:ascii="仿宋_GB2312" w:hAnsi="仿宋_GB2312" w:eastAsia="仿宋_GB2312" w:cs="仿宋_GB2312"/>
          <w:color w:val="000000" w:themeColor="text1"/>
          <w:sz w:val="32"/>
          <w:szCs w:val="32"/>
          <w14:textFill>
            <w14:solidFill>
              <w14:schemeClr w14:val="tx1"/>
            </w14:solidFill>
          </w14:textFill>
        </w:rPr>
        <w:t>资本1000万元以上</w:t>
      </w:r>
      <w:r>
        <w:rPr>
          <w:rFonts w:hint="eastAsia" w:ascii="仿宋_GB2312" w:hAnsi="仿宋_GB2312" w:eastAsia="仿宋_GB2312" w:cs="仿宋_GB2312"/>
          <w:color w:val="000000" w:themeColor="text1"/>
          <w:sz w:val="32"/>
          <w:szCs w:val="32"/>
          <w14:textFill>
            <w14:solidFill>
              <w14:schemeClr w14:val="tx1"/>
            </w14:solidFill>
          </w14:textFill>
        </w:rPr>
        <w:t>的企业，按照实缴注册资本的</w:t>
      </w:r>
      <w:r>
        <w:rPr>
          <w:rFonts w:ascii="仿宋_GB2312" w:hAnsi="仿宋_GB2312" w:eastAsia="仿宋_GB2312" w:cs="仿宋_GB2312"/>
          <w:color w:val="000000" w:themeColor="text1"/>
          <w:sz w:val="32"/>
          <w:szCs w:val="32"/>
          <w14:textFill>
            <w14:solidFill>
              <w14:schemeClr w14:val="tx1"/>
            </w14:solidFill>
          </w14:textFill>
        </w:rPr>
        <w:t>1%给予不高于4000万元的一次性补助，补助资金自实际产生地方贡献年度次年起三年内兑现到位。</w:t>
      </w:r>
      <w:r>
        <w:rPr>
          <w:rFonts w:hint="eastAsia" w:ascii="仿宋_GB2312" w:hAnsi="仿宋_GB2312" w:eastAsia="仿宋_GB2312" w:cs="仿宋_GB2312"/>
          <w:color w:val="000000" w:themeColor="text1"/>
          <w:sz w:val="32"/>
          <w:szCs w:val="32"/>
          <w14:textFill>
            <w14:solidFill>
              <w14:schemeClr w14:val="tx1"/>
            </w14:solidFill>
          </w14:textFill>
        </w:rPr>
        <w:t>落地企业正式运营后第</w:t>
      </w:r>
      <w:r>
        <w:rPr>
          <w:rFonts w:ascii="仿宋_GB2312" w:hAnsi="仿宋_GB2312" w:eastAsia="仿宋_GB2312" w:cs="仿宋_GB2312"/>
          <w:color w:val="000000" w:themeColor="text1"/>
          <w:sz w:val="32"/>
          <w:szCs w:val="32"/>
          <w14:textFill>
            <w14:solidFill>
              <w14:schemeClr w14:val="tx1"/>
            </w14:solidFill>
          </w14:textFill>
        </w:rPr>
        <w:t>1年至第3年，每年按照不超过实际纳税地方留成部分（含市、县区两级）的50%给予补助。对新入驻的对我市长远发展具有重要作用的</w:t>
      </w:r>
      <w:r>
        <w:rPr>
          <w:rFonts w:hint="eastAsia" w:ascii="仿宋_GB2312" w:hAnsi="仿宋_GB2312" w:eastAsia="仿宋_GB2312" w:cs="仿宋_GB2312"/>
          <w:color w:val="000000" w:themeColor="text1"/>
          <w:sz w:val="32"/>
          <w:szCs w:val="32"/>
          <w14:textFill>
            <w14:solidFill>
              <w14:schemeClr w14:val="tx1"/>
            </w14:solidFill>
          </w14:textFill>
        </w:rPr>
        <w:t>领先</w:t>
      </w:r>
      <w:r>
        <w:rPr>
          <w:rFonts w:ascii="仿宋_GB2312" w:hAnsi="仿宋_GB2312" w:eastAsia="仿宋_GB2312" w:cs="仿宋_GB2312"/>
          <w:color w:val="000000" w:themeColor="text1"/>
          <w:sz w:val="32"/>
          <w:szCs w:val="32"/>
          <w14:textFill>
            <w14:solidFill>
              <w14:schemeClr w14:val="tx1"/>
            </w14:solidFill>
          </w14:textFill>
        </w:rPr>
        <w:t>领军企业</w:t>
      </w:r>
      <w:r>
        <w:rPr>
          <w:rFonts w:hint="eastAsia" w:ascii="仿宋_GB2312" w:hAnsi="仿宋_GB2312" w:eastAsia="仿宋_GB2312" w:cs="仿宋_GB2312"/>
          <w:color w:val="000000" w:themeColor="text1"/>
          <w:sz w:val="32"/>
          <w:szCs w:val="32"/>
          <w14:textFill>
            <w14:solidFill>
              <w14:schemeClr w14:val="tx1"/>
            </w14:solidFill>
          </w14:textFill>
        </w:rPr>
        <w:t>，在享受上述政策的同时，还可采取“一事一议”的方式，加大扶持力度。</w:t>
      </w:r>
    </w:p>
    <w:p>
      <w:pPr>
        <w:widowControl/>
        <w:spacing w:line="600" w:lineRule="exact"/>
        <w:ind w:firstLine="640" w:firstLineChars="200"/>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二、支持集聚发展</w:t>
      </w:r>
    </w:p>
    <w:p>
      <w:pPr>
        <w:spacing w:line="600" w:lineRule="exact"/>
        <w:ind w:firstLine="64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4</w:t>
      </w:r>
      <w:r>
        <w:rPr>
          <w:rFonts w:hint="eastAsia" w:ascii="仿宋_GB2312" w:hAnsi="Arial" w:eastAsia="仿宋_GB2312" w:cs="Arial"/>
          <w:color w:val="000000" w:themeColor="text1"/>
          <w:kern w:val="0"/>
          <w:sz w:val="32"/>
          <w:szCs w:val="32"/>
          <w14:textFill>
            <w14:solidFill>
              <w14:schemeClr w14:val="tx1"/>
            </w14:solidFill>
          </w14:textFill>
        </w:rPr>
        <w:t>、支持集聚区建设。支持各区县建设产业集聚区，制定市</w:t>
      </w:r>
      <w:r>
        <w:rPr>
          <w:rFonts w:ascii="仿宋_GB2312" w:hAnsi="Arial" w:eastAsia="仿宋_GB2312" w:cs="Arial"/>
          <w:color w:val="000000" w:themeColor="text1"/>
          <w:kern w:val="0"/>
          <w:sz w:val="32"/>
          <w:szCs w:val="32"/>
          <w14:textFill>
            <w14:solidFill>
              <w14:schemeClr w14:val="tx1"/>
            </w14:solidFill>
          </w14:textFill>
        </w:rPr>
        <w:t>级</w:t>
      </w:r>
      <w:r>
        <w:rPr>
          <w:rFonts w:hint="eastAsia" w:ascii="仿宋_GB2312" w:hAnsi="Arial" w:eastAsia="仿宋_GB2312" w:cs="Arial"/>
          <w:color w:val="000000" w:themeColor="text1"/>
          <w:kern w:val="0"/>
          <w:sz w:val="32"/>
          <w:szCs w:val="32"/>
          <w14:textFill>
            <w14:solidFill>
              <w14:schemeClr w14:val="tx1"/>
            </w14:solidFill>
          </w14:textFill>
        </w:rPr>
        <w:t>产业</w:t>
      </w:r>
      <w:r>
        <w:rPr>
          <w:rFonts w:ascii="仿宋_GB2312" w:hAnsi="Arial" w:eastAsia="仿宋_GB2312" w:cs="Arial"/>
          <w:color w:val="000000" w:themeColor="text1"/>
          <w:kern w:val="0"/>
          <w:sz w:val="32"/>
          <w:szCs w:val="32"/>
          <w14:textFill>
            <w14:solidFill>
              <w14:schemeClr w14:val="tx1"/>
            </w14:solidFill>
          </w14:textFill>
        </w:rPr>
        <w:t>集聚区</w:t>
      </w:r>
      <w:r>
        <w:rPr>
          <w:rFonts w:hint="eastAsia" w:ascii="仿宋_GB2312" w:hAnsi="Arial" w:eastAsia="仿宋_GB2312" w:cs="Arial"/>
          <w:color w:val="000000" w:themeColor="text1"/>
          <w:kern w:val="0"/>
          <w:sz w:val="32"/>
          <w:szCs w:val="32"/>
          <w14:textFill>
            <w14:solidFill>
              <w14:schemeClr w14:val="tx1"/>
            </w14:solidFill>
          </w14:textFill>
        </w:rPr>
        <w:t>认定</w:t>
      </w:r>
      <w:r>
        <w:rPr>
          <w:rFonts w:ascii="仿宋_GB2312" w:hAnsi="Arial" w:eastAsia="仿宋_GB2312" w:cs="Arial"/>
          <w:color w:val="000000" w:themeColor="text1"/>
          <w:kern w:val="0"/>
          <w:sz w:val="32"/>
          <w:szCs w:val="32"/>
          <w14:textFill>
            <w14:solidFill>
              <w14:schemeClr w14:val="tx1"/>
            </w14:solidFill>
          </w14:textFill>
        </w:rPr>
        <w:t>标准，</w:t>
      </w:r>
      <w:r>
        <w:rPr>
          <w:rFonts w:hint="eastAsia" w:ascii="仿宋_GB2312" w:hAnsi="Arial" w:eastAsia="仿宋_GB2312" w:cs="Arial"/>
          <w:color w:val="000000" w:themeColor="text1"/>
          <w:kern w:val="0"/>
          <w:sz w:val="32"/>
          <w:szCs w:val="32"/>
          <w14:textFill>
            <w14:solidFill>
              <w14:schemeClr w14:val="tx1"/>
            </w14:solidFill>
          </w14:textFill>
        </w:rPr>
        <w:t>对新认定的国家级产业集聚区或示范基地（园区），最高给予1000万元的一次性奖励；对新认定的省级产业集聚区或示范基地（园区）,最高给予500万元的一次性奖励；对新认定的市级产业集聚区或示范基地（园区）,最高给予300万元的一次性奖励。</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5、</w:t>
      </w:r>
      <w:r>
        <w:rPr>
          <w:rFonts w:hint="eastAsia" w:ascii="仿宋_GB2312" w:hAnsi="Arial" w:eastAsia="仿宋_GB2312" w:cs="Arial"/>
          <w:color w:val="000000" w:themeColor="text1"/>
          <w:kern w:val="0"/>
          <w:sz w:val="32"/>
          <w:szCs w:val="32"/>
          <w14:textFill>
            <w14:solidFill>
              <w14:schemeClr w14:val="tx1"/>
            </w14:solidFill>
          </w14:textFill>
        </w:rPr>
        <w:t>支持产业</w:t>
      </w:r>
      <w:r>
        <w:rPr>
          <w:rFonts w:ascii="仿宋_GB2312" w:hAnsi="Arial" w:eastAsia="仿宋_GB2312" w:cs="Arial"/>
          <w:color w:val="000000" w:themeColor="text1"/>
          <w:kern w:val="0"/>
          <w:sz w:val="32"/>
          <w:szCs w:val="32"/>
          <w14:textFill>
            <w14:solidFill>
              <w14:schemeClr w14:val="tx1"/>
            </w14:solidFill>
          </w14:textFill>
        </w:rPr>
        <w:t>集群转型升级。</w:t>
      </w:r>
      <w:r>
        <w:rPr>
          <w:rFonts w:hint="eastAsia" w:ascii="仿宋_GB2312" w:hAnsi="Arial" w:eastAsia="仿宋_GB2312" w:cs="Arial"/>
          <w:color w:val="000000" w:themeColor="text1"/>
          <w:kern w:val="0"/>
          <w:sz w:val="32"/>
          <w:szCs w:val="32"/>
          <w14:textFill>
            <w14:solidFill>
              <w14:schemeClr w14:val="tx1"/>
            </w14:solidFill>
          </w14:textFill>
        </w:rPr>
        <w:t>按照“产业抓龙头、分级抓骨干”的思路，重点</w:t>
      </w:r>
      <w:r>
        <w:rPr>
          <w:rFonts w:ascii="仿宋_GB2312" w:hAnsi="Arial" w:eastAsia="仿宋_GB2312" w:cs="Arial"/>
          <w:color w:val="000000" w:themeColor="text1"/>
          <w:kern w:val="0"/>
          <w:sz w:val="32"/>
          <w:szCs w:val="32"/>
          <w14:textFill>
            <w14:solidFill>
              <w14:schemeClr w14:val="tx1"/>
            </w14:solidFill>
          </w14:textFill>
        </w:rPr>
        <w:t>培育</w:t>
      </w:r>
      <w:r>
        <w:rPr>
          <w:rFonts w:hint="eastAsia" w:ascii="仿宋_GB2312" w:hAnsi="Arial" w:eastAsia="仿宋_GB2312" w:cs="Arial"/>
          <w:color w:val="000000" w:themeColor="text1"/>
          <w:kern w:val="0"/>
          <w:sz w:val="32"/>
          <w:szCs w:val="32"/>
          <w14:textFill>
            <w14:solidFill>
              <w14:schemeClr w14:val="tx1"/>
            </w14:solidFill>
          </w14:textFill>
        </w:rPr>
        <w:t>新一代信息技术、高端装备与智能制造、高档数控机床和机器人、人工智能、轨道交通装备、汽车及零部件、电力装备、</w:t>
      </w:r>
      <w:r>
        <w:rPr>
          <w:rFonts w:ascii="仿宋_GB2312" w:hAnsi="Arial" w:eastAsia="仿宋_GB2312" w:cs="Arial"/>
          <w:color w:val="000000" w:themeColor="text1"/>
          <w:kern w:val="0"/>
          <w:sz w:val="32"/>
          <w:szCs w:val="32"/>
          <w14:textFill>
            <w14:solidFill>
              <w14:schemeClr w14:val="tx1"/>
            </w14:solidFill>
          </w14:textFill>
        </w:rPr>
        <w:t>节能环保设备</w:t>
      </w:r>
      <w:r>
        <w:rPr>
          <w:rFonts w:hint="eastAsia" w:ascii="仿宋_GB2312" w:hAnsi="Arial" w:eastAsia="仿宋_GB2312" w:cs="Arial"/>
          <w:color w:val="000000" w:themeColor="text1"/>
          <w:kern w:val="0"/>
          <w:sz w:val="32"/>
          <w:szCs w:val="32"/>
          <w14:textFill>
            <w14:solidFill>
              <w14:schemeClr w14:val="tx1"/>
            </w14:solidFill>
          </w14:textFill>
        </w:rPr>
        <w:t>、</w:t>
      </w:r>
      <w:r>
        <w:rPr>
          <w:rFonts w:ascii="仿宋_GB2312" w:hAnsi="Arial" w:eastAsia="仿宋_GB2312" w:cs="Arial"/>
          <w:color w:val="000000" w:themeColor="text1"/>
          <w:kern w:val="0"/>
          <w:sz w:val="32"/>
          <w:szCs w:val="32"/>
          <w14:textFill>
            <w14:solidFill>
              <w14:schemeClr w14:val="tx1"/>
            </w14:solidFill>
          </w14:textFill>
        </w:rPr>
        <w:t>新材料、</w:t>
      </w:r>
      <w:r>
        <w:rPr>
          <w:rFonts w:hint="eastAsia" w:ascii="仿宋_GB2312" w:hAnsi="Arial" w:eastAsia="仿宋_GB2312" w:cs="Arial"/>
          <w:color w:val="000000" w:themeColor="text1"/>
          <w:kern w:val="0"/>
          <w:sz w:val="32"/>
          <w:szCs w:val="32"/>
          <w14:textFill>
            <w14:solidFill>
              <w14:schemeClr w14:val="tx1"/>
            </w14:solidFill>
          </w14:textFill>
        </w:rPr>
        <w:t>生物</w:t>
      </w:r>
      <w:r>
        <w:rPr>
          <w:rFonts w:ascii="仿宋_GB2312" w:hAnsi="Arial" w:eastAsia="仿宋_GB2312" w:cs="Arial"/>
          <w:color w:val="000000" w:themeColor="text1"/>
          <w:kern w:val="0"/>
          <w:sz w:val="32"/>
          <w:szCs w:val="32"/>
          <w14:textFill>
            <w14:solidFill>
              <w14:schemeClr w14:val="tx1"/>
            </w14:solidFill>
          </w14:textFill>
        </w:rPr>
        <w:t>医药</w:t>
      </w:r>
      <w:r>
        <w:rPr>
          <w:rFonts w:hint="eastAsia" w:ascii="仿宋_GB2312" w:hAnsi="Arial" w:eastAsia="仿宋_GB2312" w:cs="Arial"/>
          <w:color w:val="000000" w:themeColor="text1"/>
          <w:kern w:val="0"/>
          <w:sz w:val="32"/>
          <w:szCs w:val="32"/>
          <w14:textFill>
            <w14:solidFill>
              <w14:schemeClr w14:val="tx1"/>
            </w14:solidFill>
          </w14:textFill>
        </w:rPr>
        <w:t>、现代</w:t>
      </w:r>
      <w:r>
        <w:rPr>
          <w:rFonts w:ascii="仿宋_GB2312" w:hAnsi="Arial" w:eastAsia="仿宋_GB2312" w:cs="Arial"/>
          <w:color w:val="000000" w:themeColor="text1"/>
          <w:kern w:val="0"/>
          <w:sz w:val="32"/>
          <w:szCs w:val="32"/>
          <w14:textFill>
            <w14:solidFill>
              <w14:schemeClr w14:val="tx1"/>
            </w14:solidFill>
          </w14:textFill>
        </w:rPr>
        <w:t>物流、</w:t>
      </w:r>
      <w:r>
        <w:rPr>
          <w:rFonts w:hint="eastAsia" w:ascii="仿宋_GB2312" w:hAnsi="Arial" w:eastAsia="仿宋_GB2312" w:cs="Arial"/>
          <w:color w:val="000000" w:themeColor="text1"/>
          <w:kern w:val="0"/>
          <w:sz w:val="32"/>
          <w:szCs w:val="32"/>
          <w14:textFill>
            <w14:solidFill>
              <w14:schemeClr w14:val="tx1"/>
            </w14:solidFill>
          </w14:textFill>
        </w:rPr>
        <w:t>智慧</w:t>
      </w:r>
      <w:r>
        <w:rPr>
          <w:rFonts w:ascii="仿宋_GB2312" w:hAnsi="Arial" w:eastAsia="仿宋_GB2312" w:cs="Arial"/>
          <w:color w:val="000000" w:themeColor="text1"/>
          <w:kern w:val="0"/>
          <w:sz w:val="32"/>
          <w:szCs w:val="32"/>
          <w14:textFill>
            <w14:solidFill>
              <w14:schemeClr w14:val="tx1"/>
            </w14:solidFill>
          </w14:textFill>
        </w:rPr>
        <w:t>健康</w:t>
      </w:r>
      <w:r>
        <w:rPr>
          <w:rFonts w:hint="eastAsia" w:ascii="仿宋_GB2312" w:hAnsi="Arial" w:eastAsia="仿宋_GB2312" w:cs="Arial"/>
          <w:color w:val="000000" w:themeColor="text1"/>
          <w:kern w:val="0"/>
          <w:sz w:val="32"/>
          <w:szCs w:val="32"/>
          <w14:textFill>
            <w14:solidFill>
              <w14:schemeClr w14:val="tx1"/>
            </w14:solidFill>
          </w14:textFill>
        </w:rPr>
        <w:t>等</w:t>
      </w:r>
      <w:r>
        <w:rPr>
          <w:rFonts w:ascii="仿宋_GB2312" w:hAnsi="Arial" w:eastAsia="仿宋_GB2312" w:cs="Arial"/>
          <w:color w:val="000000" w:themeColor="text1"/>
          <w:kern w:val="0"/>
          <w:sz w:val="32"/>
          <w:szCs w:val="32"/>
          <w14:textFill>
            <w14:solidFill>
              <w14:schemeClr w14:val="tx1"/>
            </w14:solidFill>
          </w14:textFill>
        </w:rPr>
        <w:t>2</w:t>
      </w:r>
      <w:r>
        <w:rPr>
          <w:rFonts w:hint="eastAsia" w:ascii="仿宋_GB2312" w:hAnsi="Arial" w:eastAsia="仿宋_GB2312" w:cs="Arial"/>
          <w:color w:val="000000" w:themeColor="text1"/>
          <w:kern w:val="0"/>
          <w:sz w:val="32"/>
          <w:szCs w:val="32"/>
          <w14:textFill>
            <w14:solidFill>
              <w14:schemeClr w14:val="tx1"/>
            </w14:solidFill>
          </w14:textFill>
        </w:rPr>
        <w:t>0个优势产业集群</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对</w:t>
      </w:r>
      <w:r>
        <w:rPr>
          <w:rFonts w:ascii="仿宋_GB2312" w:hAnsi="Arial" w:eastAsia="仿宋_GB2312" w:cs="Arial"/>
          <w:color w:val="000000" w:themeColor="text1"/>
          <w:kern w:val="0"/>
          <w:sz w:val="32"/>
          <w:szCs w:val="32"/>
          <w14:textFill>
            <w14:solidFill>
              <w14:schemeClr w14:val="tx1"/>
            </w14:solidFill>
          </w14:textFill>
        </w:rPr>
        <w:t>支柱产业、特色产业</w:t>
      </w:r>
      <w:r>
        <w:rPr>
          <w:rFonts w:hint="eastAsia" w:ascii="仿宋_GB2312" w:hAnsi="Arial" w:eastAsia="仿宋_GB2312" w:cs="Arial"/>
          <w:color w:val="000000" w:themeColor="text1"/>
          <w:kern w:val="0"/>
          <w:sz w:val="32"/>
          <w:szCs w:val="32"/>
          <w14:textFill>
            <w14:solidFill>
              <w14:schemeClr w14:val="tx1"/>
            </w14:solidFill>
          </w14:textFill>
        </w:rPr>
        <w:t>、新兴产业集群分别给予1000万元、500万元、300万元奖励。</w:t>
      </w:r>
      <w:r>
        <w:rPr>
          <w:rFonts w:ascii="仿宋_GB2312" w:hAnsi="Arial" w:eastAsia="仿宋_GB2312" w:cs="Arial"/>
          <w:color w:val="000000" w:themeColor="text1"/>
          <w:kern w:val="0"/>
          <w:sz w:val="32"/>
          <w:szCs w:val="32"/>
          <w14:textFill>
            <w14:solidFill>
              <w14:schemeClr w14:val="tx1"/>
            </w14:solidFill>
          </w14:textFill>
        </w:rPr>
        <w:t xml:space="preserve"> </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6</w:t>
      </w:r>
      <w:r>
        <w:rPr>
          <w:rFonts w:hint="eastAsia" w:ascii="仿宋_GB2312" w:hAnsi="Arial" w:eastAsia="仿宋_GB2312" w:cs="Arial"/>
          <w:color w:val="000000" w:themeColor="text1"/>
          <w:kern w:val="0"/>
          <w:sz w:val="32"/>
          <w:szCs w:val="32"/>
          <w14:textFill>
            <w14:solidFill>
              <w14:schemeClr w14:val="tx1"/>
            </w14:solidFill>
          </w14:textFill>
        </w:rPr>
        <w:t>、支持产业链延伸合作。以完善和提升产业链为目标，以行业龙头骨干企业为主体，引导产业链上下游企业加速集聚和紧密</w:t>
      </w:r>
      <w:r>
        <w:rPr>
          <w:rFonts w:ascii="仿宋_GB2312" w:hAnsi="Arial" w:eastAsia="仿宋_GB2312" w:cs="Arial"/>
          <w:color w:val="000000" w:themeColor="text1"/>
          <w:kern w:val="0"/>
          <w:sz w:val="32"/>
          <w:szCs w:val="32"/>
          <w14:textFill>
            <w14:solidFill>
              <w14:schemeClr w14:val="tx1"/>
            </w14:solidFill>
          </w14:textFill>
        </w:rPr>
        <w:t>合作，</w:t>
      </w:r>
      <w:r>
        <w:rPr>
          <w:rFonts w:hint="eastAsia" w:ascii="仿宋_GB2312" w:hAnsi="Arial" w:eastAsia="仿宋_GB2312" w:cs="Arial"/>
          <w:color w:val="000000" w:themeColor="text1"/>
          <w:kern w:val="0"/>
          <w:sz w:val="32"/>
          <w:szCs w:val="32"/>
          <w14:textFill>
            <w14:solidFill>
              <w14:schemeClr w14:val="tx1"/>
            </w14:solidFill>
          </w14:textFill>
        </w:rPr>
        <w:t>提升全产业链的协同发展水平。支持鼓励信息技术服务企业与制造业企业深度合作，提供软硬结合、管控一体的完整解决方案，按照履行完成服务合同额的5-10%给予奖励，单个企业最高不超过100万元。</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7</w:t>
      </w:r>
      <w:r>
        <w:rPr>
          <w:rFonts w:hint="eastAsia" w:ascii="仿宋_GB2312" w:hAnsi="Arial" w:eastAsia="仿宋_GB2312" w:cs="Arial"/>
          <w:color w:val="000000" w:themeColor="text1"/>
          <w:kern w:val="0"/>
          <w:sz w:val="32"/>
          <w:szCs w:val="32"/>
          <w14:textFill>
            <w14:solidFill>
              <w14:schemeClr w14:val="tx1"/>
            </w14:solidFill>
          </w14:textFill>
        </w:rPr>
        <w:t>、支持军民融合发展。鼓励“民参军”，对获得军工生产保密资质和武器装备承制许可证资质的企业，分别给予50万元奖励。对承担军工科研项目的企业，按照项目合同金额的3</w:t>
      </w:r>
      <w:r>
        <w:rPr>
          <w:rFonts w:ascii="仿宋_GB2312" w:hAnsi="Arial" w:eastAsia="仿宋_GB2312" w:cs="Arial"/>
          <w:color w:val="000000" w:themeColor="text1"/>
          <w:kern w:val="0"/>
          <w:sz w:val="32"/>
          <w:szCs w:val="32"/>
          <w14:textFill>
            <w14:solidFill>
              <w14:schemeClr w14:val="tx1"/>
            </w14:solidFill>
          </w14:textFill>
        </w:rPr>
        <w:t>0</w:t>
      </w:r>
      <w:r>
        <w:rPr>
          <w:rFonts w:hint="eastAsia" w:ascii="仿宋_GB2312" w:hAnsi="Arial" w:eastAsia="仿宋_GB2312" w:cs="Arial"/>
          <w:color w:val="000000" w:themeColor="text1"/>
          <w:kern w:val="0"/>
          <w:sz w:val="32"/>
          <w:szCs w:val="32"/>
          <w14:textFill>
            <w14:solidFill>
              <w14:schemeClr w14:val="tx1"/>
            </w14:solidFill>
          </w14:textFill>
        </w:rPr>
        <w:t>%给予补助，最高补助500万元。鼓励“军转民”，支持企业与军工单位开展研发合作，推动军工科技资源进入民用领域，对每项军用技术形成产业化的，给予军工单位50万元奖励。一个军工单位多项技术形成产业化的，可重复奖励。</w:t>
      </w:r>
    </w:p>
    <w:p>
      <w:pPr>
        <w:widowControl/>
        <w:spacing w:line="600" w:lineRule="exact"/>
        <w:rPr>
          <w:rFonts w:ascii="黑体" w:hAnsi="黑体" w:eastAsia="黑体"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 xml:space="preserve">  </w:t>
      </w:r>
      <w:r>
        <w:rPr>
          <w:rFonts w:ascii="仿宋_GB2312" w:hAnsi="Arial" w:eastAsia="仿宋_GB2312" w:cs="Arial"/>
          <w:color w:val="FF0000"/>
          <w:kern w:val="0"/>
          <w:sz w:val="32"/>
          <w:szCs w:val="32"/>
        </w:rPr>
        <w:t xml:space="preserve">  </w:t>
      </w:r>
      <w:r>
        <w:rPr>
          <w:rFonts w:hint="eastAsia" w:ascii="黑体" w:hAnsi="黑体" w:eastAsia="黑体" w:cs="Arial"/>
          <w:color w:val="000000" w:themeColor="text1"/>
          <w:kern w:val="0"/>
          <w:sz w:val="32"/>
          <w:szCs w:val="32"/>
          <w14:textFill>
            <w14:solidFill>
              <w14:schemeClr w14:val="tx1"/>
            </w14:solidFill>
          </w14:textFill>
        </w:rPr>
        <w:t>三、支持创新发展</w:t>
      </w:r>
    </w:p>
    <w:p>
      <w:pPr>
        <w:spacing w:line="600" w:lineRule="exact"/>
        <w:ind w:firstLine="640" w:firstLineChars="200"/>
        <w:contextualSpacing/>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8</w:t>
      </w:r>
      <w:r>
        <w:rPr>
          <w:rFonts w:hint="eastAsia" w:ascii="仿宋_GB2312" w:hAnsi="Arial" w:eastAsia="仿宋_GB2312" w:cs="Arial"/>
          <w:color w:val="000000" w:themeColor="text1"/>
          <w:kern w:val="0"/>
          <w:sz w:val="32"/>
          <w:szCs w:val="32"/>
          <w14:textFill>
            <w14:solidFill>
              <w14:schemeClr w14:val="tx1"/>
            </w14:solidFill>
          </w14:textFill>
        </w:rPr>
        <w:t>、支持顶尖人才集聚和领军人才培育。对新引进或培养的国内外顶尖人才和团队，给予最高１亿元的综合资助。落实泉城产业领军人才支持计划，聚焦新一代信息技术、智能制造与高端装备、量子科技</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工业互联网等领域，以“高精尖缺”为导向，着力培养本土重点产业领军人才和团队，并给予最高3</w:t>
      </w:r>
      <w:r>
        <w:rPr>
          <w:rFonts w:ascii="仿宋_GB2312" w:hAnsi="Arial" w:eastAsia="仿宋_GB2312" w:cs="Arial"/>
          <w:color w:val="000000" w:themeColor="text1"/>
          <w:kern w:val="0"/>
          <w:sz w:val="32"/>
          <w:szCs w:val="32"/>
          <w14:textFill>
            <w14:solidFill>
              <w14:schemeClr w14:val="tx1"/>
            </w14:solidFill>
          </w14:textFill>
        </w:rPr>
        <w:t>00</w:t>
      </w:r>
      <w:r>
        <w:rPr>
          <w:rFonts w:hint="eastAsia" w:ascii="仿宋_GB2312" w:hAnsi="Arial" w:eastAsia="仿宋_GB2312" w:cs="Arial"/>
          <w:color w:val="000000" w:themeColor="text1"/>
          <w:kern w:val="0"/>
          <w:sz w:val="32"/>
          <w:szCs w:val="32"/>
          <w14:textFill>
            <w14:solidFill>
              <w14:schemeClr w14:val="tx1"/>
            </w14:solidFill>
          </w14:textFill>
        </w:rPr>
        <w:t>万元项目经费资助。</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9、支持建设高水平研发机构。对新获批国家级重点（工程）实验室、工程（技术）研究中心、企业技术中心、工业设计中心、制造业创新中心、产业创新中心等研发机构的企业，给予最高</w:t>
      </w:r>
      <w:r>
        <w:rPr>
          <w:rFonts w:ascii="仿宋_GB2312" w:hAnsi="Arial" w:eastAsia="仿宋_GB2312" w:cs="Arial"/>
          <w:color w:val="000000" w:themeColor="text1"/>
          <w:kern w:val="0"/>
          <w:sz w:val="32"/>
          <w:szCs w:val="32"/>
          <w14:textFill>
            <w14:solidFill>
              <w14:schemeClr w14:val="tx1"/>
            </w14:solidFill>
          </w14:textFill>
        </w:rPr>
        <w:t>5</w:t>
      </w:r>
      <w:r>
        <w:rPr>
          <w:rFonts w:hint="eastAsia" w:ascii="仿宋_GB2312" w:hAnsi="Arial" w:eastAsia="仿宋_GB2312" w:cs="Arial"/>
          <w:color w:val="000000" w:themeColor="text1"/>
          <w:kern w:val="0"/>
          <w:sz w:val="32"/>
          <w:szCs w:val="32"/>
          <w14:textFill>
            <w14:solidFill>
              <w14:schemeClr w14:val="tx1"/>
            </w14:solidFill>
          </w14:textFill>
        </w:rPr>
        <w:t>00万元扶持；新获批省级研发机构的企业，给予最高100万元扶持；新获批市级研发机构的企业，给予最高50万元扶持；对世界500强企业、国内外高校和科研院所来济设立的独立研发机构，依据投资强度和建设成效，一事一议给予扶持。</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10、</w:t>
      </w:r>
      <w:r>
        <w:rPr>
          <w:rFonts w:hint="eastAsia" w:ascii="仿宋_GB2312" w:hAnsi="Arial" w:eastAsia="仿宋_GB2312" w:cs="Arial"/>
          <w:color w:val="000000" w:themeColor="text1"/>
          <w:kern w:val="0"/>
          <w:sz w:val="32"/>
          <w:szCs w:val="32"/>
          <w14:textFill>
            <w14:solidFill>
              <w14:schemeClr w14:val="tx1"/>
            </w14:solidFill>
          </w14:textFill>
        </w:rPr>
        <w:t>支持行业骨干企业建设公共技术服务、行业大数据、电子商务、智慧物流、工业设计、智能制造服务、检验检测、军民融合技术</w:t>
      </w:r>
      <w:r>
        <w:rPr>
          <w:rFonts w:ascii="仿宋_GB2312" w:hAnsi="Arial" w:eastAsia="仿宋_GB2312" w:cs="Arial"/>
          <w:color w:val="000000" w:themeColor="text1"/>
          <w:kern w:val="0"/>
          <w:sz w:val="32"/>
          <w:szCs w:val="32"/>
          <w14:textFill>
            <w14:solidFill>
              <w14:schemeClr w14:val="tx1"/>
            </w14:solidFill>
          </w14:textFill>
        </w:rPr>
        <w:t>转化</w:t>
      </w:r>
      <w:r>
        <w:rPr>
          <w:rFonts w:hint="eastAsia" w:ascii="仿宋_GB2312" w:hAnsi="Arial" w:eastAsia="仿宋_GB2312" w:cs="Arial"/>
          <w:color w:val="000000" w:themeColor="text1"/>
          <w:kern w:val="0"/>
          <w:sz w:val="32"/>
          <w:szCs w:val="32"/>
          <w14:textFill>
            <w14:solidFill>
              <w14:schemeClr w14:val="tx1"/>
            </w14:solidFill>
          </w14:textFill>
        </w:rPr>
        <w:t>、创新中心等公共服务平台，大力培育平台型企业和平台经济。对经国家级、省级、市级新认定的平台分别给予实际投资额</w:t>
      </w:r>
      <w:r>
        <w:rPr>
          <w:rFonts w:ascii="仿宋_GB2312" w:hAnsi="Arial" w:eastAsia="仿宋_GB2312" w:cs="Arial"/>
          <w:color w:val="000000" w:themeColor="text1"/>
          <w:kern w:val="0"/>
          <w:sz w:val="32"/>
          <w:szCs w:val="32"/>
          <w14:textFill>
            <w14:solidFill>
              <w14:schemeClr w14:val="tx1"/>
            </w14:solidFill>
          </w14:textFill>
        </w:rPr>
        <w:t>30%</w:t>
      </w:r>
      <w:r>
        <w:rPr>
          <w:rFonts w:hint="eastAsia" w:ascii="仿宋_GB2312" w:hAnsi="Arial" w:eastAsia="仿宋_GB2312" w:cs="Arial"/>
          <w:color w:val="000000" w:themeColor="text1"/>
          <w:kern w:val="0"/>
          <w:sz w:val="32"/>
          <w:szCs w:val="32"/>
          <w14:textFill>
            <w14:solidFill>
              <w14:schemeClr w14:val="tx1"/>
            </w14:solidFill>
          </w14:textFill>
        </w:rPr>
        <w:t>、20%、</w:t>
      </w:r>
      <w:r>
        <w:rPr>
          <w:rFonts w:ascii="仿宋_GB2312" w:hAnsi="Arial" w:eastAsia="仿宋_GB2312" w:cs="Arial"/>
          <w:color w:val="000000" w:themeColor="text1"/>
          <w:kern w:val="0"/>
          <w:sz w:val="32"/>
          <w:szCs w:val="32"/>
          <w14:textFill>
            <w14:solidFill>
              <w14:schemeClr w14:val="tx1"/>
            </w14:solidFill>
          </w14:textFill>
        </w:rPr>
        <w:t>10</w:t>
      </w:r>
      <w:r>
        <w:rPr>
          <w:rFonts w:hint="eastAsia" w:ascii="仿宋_GB2312" w:hAnsi="Arial" w:eastAsia="仿宋_GB2312" w:cs="Arial"/>
          <w:color w:val="000000" w:themeColor="text1"/>
          <w:kern w:val="0"/>
          <w:sz w:val="32"/>
          <w:szCs w:val="32"/>
          <w14:textFill>
            <w14:solidFill>
              <w14:schemeClr w14:val="tx1"/>
            </w14:solidFill>
          </w14:textFill>
        </w:rPr>
        <w:t>%的财政补助，最高不超过1000万元。</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微软雅黑" w:eastAsia="仿宋_GB2312" w:cs="宋体"/>
          <w:sz w:val="32"/>
          <w:szCs w:val="32"/>
        </w:rPr>
        <w:t>11、支持重大产业和关键技术突破创新。</w:t>
      </w:r>
      <w:r>
        <w:rPr>
          <w:rFonts w:hint="eastAsia" w:ascii="仿宋_GB2312" w:hAnsi="微软雅黑" w:eastAsia="仿宋_GB2312" w:cs="宋体"/>
          <w:sz w:val="32"/>
          <w:szCs w:val="32"/>
        </w:rPr>
        <w:t>深入</w:t>
      </w:r>
      <w:r>
        <w:rPr>
          <w:rFonts w:ascii="仿宋_GB2312" w:hAnsi="微软雅黑" w:eastAsia="仿宋_GB2312" w:cs="宋体"/>
          <w:sz w:val="32"/>
          <w:szCs w:val="32"/>
        </w:rPr>
        <w:t>实施工业强基工程，</w:t>
      </w:r>
      <w:r>
        <w:rPr>
          <w:rFonts w:hint="eastAsia" w:ascii="仿宋_GB2312" w:hAnsi="微软雅黑" w:eastAsia="仿宋_GB2312" w:cs="宋体"/>
          <w:sz w:val="32"/>
          <w:szCs w:val="32"/>
        </w:rPr>
        <w:t>以短板</w:t>
      </w:r>
      <w:r>
        <w:rPr>
          <w:rFonts w:ascii="仿宋_GB2312" w:hAnsi="微软雅黑" w:eastAsia="仿宋_GB2312" w:cs="宋体"/>
          <w:sz w:val="32"/>
          <w:szCs w:val="32"/>
        </w:rPr>
        <w:t>装备、</w:t>
      </w:r>
      <w:r>
        <w:rPr>
          <w:rFonts w:hint="eastAsia" w:ascii="仿宋_GB2312" w:hAnsi="微软雅黑" w:eastAsia="仿宋_GB2312" w:cs="宋体"/>
          <w:sz w:val="32"/>
          <w:szCs w:val="32"/>
        </w:rPr>
        <w:t>核心装备、系统软件、关键材料、基础零部件等为重点，推动实现工程化、产业化突破，全市每年确定</w:t>
      </w:r>
      <w:r>
        <w:rPr>
          <w:rFonts w:ascii="仿宋_GB2312" w:hAnsi="微软雅黑" w:eastAsia="仿宋_GB2312" w:cs="宋体"/>
          <w:sz w:val="32"/>
          <w:szCs w:val="32"/>
        </w:rPr>
        <w:t>重点创新突破领域，</w:t>
      </w:r>
      <w:r>
        <w:rPr>
          <w:rFonts w:hint="eastAsia" w:ascii="仿宋_GB2312" w:hAnsi="微软雅黑" w:eastAsia="仿宋_GB2312" w:cs="宋体"/>
          <w:sz w:val="32"/>
          <w:szCs w:val="32"/>
        </w:rPr>
        <w:t>在</w:t>
      </w:r>
      <w:r>
        <w:rPr>
          <w:rFonts w:ascii="仿宋_GB2312" w:hAnsi="微软雅黑" w:eastAsia="仿宋_GB2312" w:cs="宋体"/>
          <w:sz w:val="32"/>
          <w:szCs w:val="32"/>
        </w:rPr>
        <w:t>研发和产业化方面</w:t>
      </w:r>
      <w:r>
        <w:rPr>
          <w:rFonts w:hint="eastAsia" w:ascii="仿宋_GB2312" w:hAnsi="微软雅黑" w:eastAsia="仿宋_GB2312" w:cs="宋体"/>
          <w:sz w:val="32"/>
          <w:szCs w:val="32"/>
        </w:rPr>
        <w:t>一事一议</w:t>
      </w:r>
      <w:r>
        <w:rPr>
          <w:rFonts w:ascii="仿宋_GB2312" w:hAnsi="微软雅黑" w:eastAsia="仿宋_GB2312" w:cs="宋体"/>
          <w:sz w:val="32"/>
          <w:szCs w:val="32"/>
        </w:rPr>
        <w:t>给予重点扶持。</w:t>
      </w:r>
      <w:r>
        <w:rPr>
          <w:rFonts w:hint="eastAsia" w:ascii="仿宋_GB2312" w:hAnsi="Arial" w:eastAsia="仿宋_GB2312" w:cs="Arial"/>
          <w:color w:val="000000" w:themeColor="text1"/>
          <w:kern w:val="0"/>
          <w:sz w:val="32"/>
          <w:szCs w:val="32"/>
          <w14:textFill>
            <w14:solidFill>
              <w14:schemeClr w14:val="tx1"/>
            </w14:solidFill>
          </w14:textFill>
        </w:rPr>
        <w:t>积极争取国家重大专项，将国家重大专项配套资金列入财政预算，确保配套资金足额到位。</w:t>
      </w:r>
    </w:p>
    <w:p>
      <w:pPr>
        <w:widowControl/>
        <w:spacing w:line="600" w:lineRule="exact"/>
        <w:ind w:firstLine="640" w:firstLineChars="200"/>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四</w:t>
      </w:r>
      <w:r>
        <w:rPr>
          <w:rFonts w:ascii="黑体" w:hAnsi="黑体" w:eastAsia="黑体" w:cs="Arial"/>
          <w:color w:val="000000" w:themeColor="text1"/>
          <w:kern w:val="0"/>
          <w:sz w:val="32"/>
          <w:szCs w:val="32"/>
          <w14:textFill>
            <w14:solidFill>
              <w14:schemeClr w14:val="tx1"/>
            </w14:solidFill>
          </w14:textFill>
        </w:rPr>
        <w:t>、支持工业互联网发展</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12、支持工业互联网平台建设。鼓励和支持制造业企业、互联网企业、电信运营商、系统集成商、院校研究机构及行业组织等各类机构优势互补加强合作，建设跨行业跨领域工业互联网平台，以及面向特定行业的工业互联网平台。对取得良好效果的跨行业跨领域工业互联网平台给予最高不超过</w:t>
      </w:r>
      <w:r>
        <w:rPr>
          <w:rFonts w:ascii="仿宋_GB2312" w:hAnsi="Arial" w:eastAsia="仿宋_GB2312" w:cs="Arial"/>
          <w:color w:val="000000" w:themeColor="text1"/>
          <w:kern w:val="0"/>
          <w:sz w:val="32"/>
          <w:szCs w:val="32"/>
          <w14:textFill>
            <w14:solidFill>
              <w14:schemeClr w14:val="tx1"/>
            </w14:solidFill>
          </w14:textFill>
        </w:rPr>
        <w:t>2</w:t>
      </w:r>
      <w:r>
        <w:rPr>
          <w:rFonts w:hint="eastAsia" w:ascii="仿宋_GB2312" w:hAnsi="Arial" w:eastAsia="仿宋_GB2312" w:cs="Arial"/>
          <w:color w:val="000000" w:themeColor="text1"/>
          <w:kern w:val="0"/>
          <w:sz w:val="32"/>
          <w:szCs w:val="32"/>
          <w14:textFill>
            <w14:solidFill>
              <w14:schemeClr w14:val="tx1"/>
            </w14:solidFill>
          </w14:textFill>
        </w:rPr>
        <w:t>000万元支持。对具备特色功能并取得良好效果的特定行业工业互联网平台给予最高不超过</w:t>
      </w:r>
      <w:r>
        <w:rPr>
          <w:rFonts w:ascii="仿宋_GB2312" w:hAnsi="Arial" w:eastAsia="仿宋_GB2312" w:cs="Arial"/>
          <w:color w:val="000000" w:themeColor="text1"/>
          <w:kern w:val="0"/>
          <w:sz w:val="32"/>
          <w:szCs w:val="32"/>
          <w14:textFill>
            <w14:solidFill>
              <w14:schemeClr w14:val="tx1"/>
            </w14:solidFill>
          </w14:textFill>
        </w:rPr>
        <w:t>3</w:t>
      </w:r>
      <w:r>
        <w:rPr>
          <w:rFonts w:hint="eastAsia" w:ascii="仿宋_GB2312" w:hAnsi="Arial" w:eastAsia="仿宋_GB2312" w:cs="Arial"/>
          <w:color w:val="000000" w:themeColor="text1"/>
          <w:kern w:val="0"/>
          <w:sz w:val="32"/>
          <w:szCs w:val="32"/>
          <w14:textFill>
            <w14:solidFill>
              <w14:schemeClr w14:val="tx1"/>
            </w14:solidFill>
          </w14:textFill>
        </w:rPr>
        <w:t>00万元支持。</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13、支持工业互联网平台测试验证环境建设。支持龙头企业、科研院所、高校等联合开展工业互联网平台试验验证，开展工业互联网平台、网络、安全等关键技术功能性、可靠性、安全性、兼容性测试验证服务，促进工业互联网平台、工业APP、工业网络、工业互联网安全等创新发展。对测试验证环境建设项目，按不超过建设总投入的50%予以资助，最高不超过</w:t>
      </w:r>
      <w:r>
        <w:rPr>
          <w:rFonts w:ascii="仿宋_GB2312" w:hAnsi="Arial" w:eastAsia="仿宋_GB2312" w:cs="Arial"/>
          <w:color w:val="000000" w:themeColor="text1"/>
          <w:kern w:val="0"/>
          <w:sz w:val="32"/>
          <w:szCs w:val="32"/>
          <w14:textFill>
            <w14:solidFill>
              <w14:schemeClr w14:val="tx1"/>
            </w14:solidFill>
          </w14:textFill>
        </w:rPr>
        <w:t>2</w:t>
      </w:r>
      <w:r>
        <w:rPr>
          <w:rFonts w:hint="eastAsia" w:ascii="仿宋_GB2312" w:hAnsi="Arial" w:eastAsia="仿宋_GB2312" w:cs="Arial"/>
          <w:color w:val="000000" w:themeColor="text1"/>
          <w:kern w:val="0"/>
          <w:sz w:val="32"/>
          <w:szCs w:val="32"/>
          <w14:textFill>
            <w14:solidFill>
              <w14:schemeClr w14:val="tx1"/>
            </w14:solidFill>
          </w14:textFill>
        </w:rPr>
        <w:t>00万元。</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14、支持工业企业内网改造。支持工业企业以工业以太网、工业无源光网络（PON）、工业无线、互联网通讯协议第六版（IPv6）、时间敏感网络（TSN）等新型技术、设备改造生产现场网络和系统。将工业企业内网改造投入纳入工业企业信息化建设项目和企业技改项目资助范围，每个项目按不超过实际投入的</w:t>
      </w:r>
      <w:r>
        <w:rPr>
          <w:rFonts w:ascii="仿宋_GB2312" w:hAnsi="Arial" w:eastAsia="仿宋_GB2312" w:cs="Arial"/>
          <w:color w:val="000000" w:themeColor="text1"/>
          <w:kern w:val="0"/>
          <w:sz w:val="32"/>
          <w:szCs w:val="32"/>
          <w14:textFill>
            <w14:solidFill>
              <w14:schemeClr w14:val="tx1"/>
            </w14:solidFill>
          </w14:textFill>
        </w:rPr>
        <w:t>20</w:t>
      </w:r>
      <w:r>
        <w:rPr>
          <w:rFonts w:hint="eastAsia" w:ascii="仿宋_GB2312" w:hAnsi="Arial" w:eastAsia="仿宋_GB2312" w:cs="Arial"/>
          <w:color w:val="000000" w:themeColor="text1"/>
          <w:kern w:val="0"/>
          <w:sz w:val="32"/>
          <w:szCs w:val="32"/>
          <w14:textFill>
            <w14:solidFill>
              <w14:schemeClr w14:val="tx1"/>
            </w14:solidFill>
          </w14:textFill>
        </w:rPr>
        <w:t>%予以资助，最高不超过</w:t>
      </w:r>
      <w:r>
        <w:rPr>
          <w:rFonts w:ascii="仿宋_GB2312" w:hAnsi="Arial" w:eastAsia="仿宋_GB2312" w:cs="Arial"/>
          <w:color w:val="000000" w:themeColor="text1"/>
          <w:kern w:val="0"/>
          <w:sz w:val="32"/>
          <w:szCs w:val="32"/>
          <w14:textFill>
            <w14:solidFill>
              <w14:schemeClr w14:val="tx1"/>
            </w14:solidFill>
          </w14:textFill>
        </w:rPr>
        <w:t>3</w:t>
      </w:r>
      <w:r>
        <w:rPr>
          <w:rFonts w:hint="eastAsia" w:ascii="仿宋_GB2312" w:hAnsi="Arial" w:eastAsia="仿宋_GB2312" w:cs="Arial"/>
          <w:color w:val="000000" w:themeColor="text1"/>
          <w:kern w:val="0"/>
          <w:sz w:val="32"/>
          <w:szCs w:val="32"/>
          <w14:textFill>
            <w14:solidFill>
              <w14:schemeClr w14:val="tx1"/>
            </w14:solidFill>
          </w14:textFill>
        </w:rPr>
        <w:t>00万元。</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15、支持工业互联网示范应用。支持企业在研发设计、生产制造、经营管理、物流配送、售后服务、节能减排、安全生产等环节实施工业互联网应用项目建设。对应用效果明显、具有示范意义的项目，按不超过实际总投入的30%予以资助，最高不超过</w:t>
      </w:r>
      <w:r>
        <w:rPr>
          <w:rFonts w:ascii="仿宋_GB2312" w:hAnsi="Arial" w:eastAsia="仿宋_GB2312" w:cs="Arial"/>
          <w:color w:val="000000" w:themeColor="text1"/>
          <w:kern w:val="0"/>
          <w:sz w:val="32"/>
          <w:szCs w:val="32"/>
          <w14:textFill>
            <w14:solidFill>
              <w14:schemeClr w14:val="tx1"/>
            </w14:solidFill>
          </w14:textFill>
        </w:rPr>
        <w:t>2</w:t>
      </w:r>
      <w:r>
        <w:rPr>
          <w:rFonts w:hint="eastAsia" w:ascii="仿宋_GB2312" w:hAnsi="Arial" w:eastAsia="仿宋_GB2312" w:cs="Arial"/>
          <w:color w:val="000000" w:themeColor="text1"/>
          <w:kern w:val="0"/>
          <w:sz w:val="32"/>
          <w:szCs w:val="32"/>
          <w14:textFill>
            <w14:solidFill>
              <w14:schemeClr w14:val="tx1"/>
            </w14:solidFill>
          </w14:textFill>
        </w:rPr>
        <w:t>00万元。</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16、</w:t>
      </w:r>
      <w:r>
        <w:rPr>
          <w:rFonts w:ascii="仿宋_GB2312" w:eastAsia="仿宋_GB2312"/>
          <w:sz w:val="32"/>
          <w:szCs w:val="32"/>
        </w:rPr>
        <w:t>加大信息基础设施建设与保护力度。推动网络升级，全面提升网络传输和交换能力，增强工业园区互联网接入服务能力。安排一定财政资金支持企业建设工业互联网标识解析二级节点，对建成开通并持续运营国际互联网数据专用通道的每家电信运营企业每年每个园区给予20万元的奖补资金,连续补贴三年，每个企业累计奖补不超过300万元。</w:t>
      </w:r>
    </w:p>
    <w:p>
      <w:pPr>
        <w:widowControl/>
        <w:spacing w:line="600" w:lineRule="exact"/>
        <w:ind w:firstLine="640" w:firstLineChars="200"/>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五、支持数字化转型升级</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1</w:t>
      </w:r>
      <w:r>
        <w:rPr>
          <w:rFonts w:hint="eastAsia" w:ascii="仿宋_GB2312" w:hAnsi="Arial" w:eastAsia="仿宋_GB2312" w:cs="Arial"/>
          <w:color w:val="000000" w:themeColor="text1"/>
          <w:kern w:val="0"/>
          <w:sz w:val="32"/>
          <w:szCs w:val="32"/>
          <w14:textFill>
            <w14:solidFill>
              <w14:schemeClr w14:val="tx1"/>
            </w14:solidFill>
          </w14:textFill>
        </w:rPr>
        <w:t>7、支持数字化、网络化、智能化技术改造。大力实施“机器换人”、数字车间、数字工厂、智慧产业、智慧园区建设，打造数字工厂（车间）示范项目。</w:t>
      </w:r>
      <w:r>
        <w:rPr>
          <w:rFonts w:hint="eastAsia" w:ascii="仿宋_GB2312" w:eastAsia="仿宋_GB2312"/>
          <w:sz w:val="32"/>
          <w:szCs w:val="32"/>
        </w:rPr>
        <w:t>对201</w:t>
      </w:r>
      <w:r>
        <w:rPr>
          <w:rFonts w:ascii="仿宋_GB2312" w:eastAsia="仿宋_GB2312"/>
          <w:sz w:val="32"/>
          <w:szCs w:val="32"/>
        </w:rPr>
        <w:t>8</w:t>
      </w:r>
      <w:r>
        <w:rPr>
          <w:rFonts w:hint="eastAsia" w:ascii="仿宋_GB2312" w:eastAsia="仿宋_GB2312"/>
          <w:sz w:val="32"/>
          <w:szCs w:val="32"/>
        </w:rPr>
        <w:t>年后开工、实际完成投资额（含设备和软件投入）</w:t>
      </w:r>
      <w:r>
        <w:rPr>
          <w:rFonts w:hint="eastAsia" w:ascii="仿宋_GB2312" w:hAnsi="Arial" w:eastAsia="仿宋_GB2312" w:cs="Arial"/>
          <w:color w:val="000000" w:themeColor="text1"/>
          <w:kern w:val="0"/>
          <w:sz w:val="32"/>
          <w:szCs w:val="32"/>
          <w14:textFill>
            <w14:solidFill>
              <w14:schemeClr w14:val="tx1"/>
            </w14:solidFill>
          </w14:textFill>
        </w:rPr>
        <w:t>达5</w:t>
      </w:r>
      <w:r>
        <w:rPr>
          <w:rFonts w:ascii="仿宋_GB2312" w:hAnsi="Arial" w:eastAsia="仿宋_GB2312" w:cs="Arial"/>
          <w:color w:val="000000" w:themeColor="text1"/>
          <w:kern w:val="0"/>
          <w:sz w:val="32"/>
          <w:szCs w:val="32"/>
          <w14:textFill>
            <w14:solidFill>
              <w14:schemeClr w14:val="tx1"/>
            </w14:solidFill>
          </w14:textFill>
        </w:rPr>
        <w:t>00</w:t>
      </w:r>
      <w:r>
        <w:rPr>
          <w:rFonts w:hint="eastAsia" w:ascii="仿宋_GB2312" w:hAnsi="Arial" w:eastAsia="仿宋_GB2312" w:cs="Arial"/>
          <w:color w:val="000000" w:themeColor="text1"/>
          <w:kern w:val="0"/>
          <w:sz w:val="32"/>
          <w:szCs w:val="32"/>
          <w14:textFill>
            <w14:solidFill>
              <w14:schemeClr w14:val="tx1"/>
            </w14:solidFill>
          </w14:textFill>
        </w:rPr>
        <w:t>万元以上的，按照10</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给予补助，最高不超过10</w:t>
      </w:r>
      <w:r>
        <w:rPr>
          <w:rFonts w:ascii="仿宋_GB2312" w:hAnsi="Arial" w:eastAsia="仿宋_GB2312" w:cs="Arial"/>
          <w:color w:val="000000" w:themeColor="text1"/>
          <w:kern w:val="0"/>
          <w:sz w:val="32"/>
          <w:szCs w:val="32"/>
          <w14:textFill>
            <w14:solidFill>
              <w14:schemeClr w14:val="tx1"/>
            </w14:solidFill>
          </w14:textFill>
        </w:rPr>
        <w:t>0</w:t>
      </w:r>
      <w:r>
        <w:rPr>
          <w:rFonts w:hint="eastAsia" w:ascii="仿宋_GB2312" w:hAnsi="Arial" w:eastAsia="仿宋_GB2312" w:cs="Arial"/>
          <w:color w:val="000000" w:themeColor="text1"/>
          <w:kern w:val="0"/>
          <w:sz w:val="32"/>
          <w:szCs w:val="32"/>
          <w14:textFill>
            <w14:solidFill>
              <w14:schemeClr w14:val="tx1"/>
            </w14:solidFill>
          </w14:textFill>
        </w:rPr>
        <w:t>万元。</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1</w:t>
      </w:r>
      <w:r>
        <w:rPr>
          <w:rFonts w:hint="eastAsia" w:ascii="仿宋_GB2312" w:hAnsi="Arial" w:eastAsia="仿宋_GB2312" w:cs="Arial"/>
          <w:color w:val="000000" w:themeColor="text1"/>
          <w:kern w:val="0"/>
          <w:sz w:val="32"/>
          <w:szCs w:val="32"/>
          <w14:textFill>
            <w14:solidFill>
              <w14:schemeClr w14:val="tx1"/>
            </w14:solidFill>
          </w14:textFill>
        </w:rPr>
        <w:t>8、支持制造</w:t>
      </w:r>
      <w:r>
        <w:rPr>
          <w:rFonts w:ascii="仿宋_GB2312" w:hAnsi="Arial" w:eastAsia="仿宋_GB2312" w:cs="Arial"/>
          <w:color w:val="000000" w:themeColor="text1"/>
          <w:kern w:val="0"/>
          <w:sz w:val="32"/>
          <w:szCs w:val="32"/>
          <w14:textFill>
            <w14:solidFill>
              <w14:schemeClr w14:val="tx1"/>
            </w14:solidFill>
          </w14:textFill>
        </w:rPr>
        <w:t>模式创新</w:t>
      </w:r>
      <w:r>
        <w:rPr>
          <w:rFonts w:hint="eastAsia" w:ascii="仿宋_GB2312" w:hAnsi="Arial" w:eastAsia="仿宋_GB2312" w:cs="Arial"/>
          <w:color w:val="000000" w:themeColor="text1"/>
          <w:kern w:val="0"/>
          <w:sz w:val="32"/>
          <w:szCs w:val="32"/>
          <w14:textFill>
            <w14:solidFill>
              <w14:schemeClr w14:val="tx1"/>
            </w14:solidFill>
          </w14:textFill>
        </w:rPr>
        <w:t>。聚焦高档数控机床和机器人、轨道交通、智能电力</w:t>
      </w:r>
      <w:r>
        <w:rPr>
          <w:rFonts w:ascii="仿宋_GB2312" w:hAnsi="Arial" w:eastAsia="仿宋_GB2312" w:cs="Arial"/>
          <w:color w:val="000000" w:themeColor="text1"/>
          <w:kern w:val="0"/>
          <w:sz w:val="32"/>
          <w:szCs w:val="32"/>
          <w14:textFill>
            <w14:solidFill>
              <w14:schemeClr w14:val="tx1"/>
            </w14:solidFill>
          </w14:textFill>
        </w:rPr>
        <w:t>装备</w:t>
      </w:r>
      <w:r>
        <w:rPr>
          <w:rFonts w:hint="eastAsia" w:ascii="仿宋_GB2312" w:hAnsi="Arial" w:eastAsia="仿宋_GB2312" w:cs="Arial"/>
          <w:color w:val="000000" w:themeColor="text1"/>
          <w:kern w:val="0"/>
          <w:sz w:val="32"/>
          <w:szCs w:val="32"/>
          <w14:textFill>
            <w14:solidFill>
              <w14:schemeClr w14:val="tx1"/>
            </w14:solidFill>
          </w14:textFill>
        </w:rPr>
        <w:t>、环保</w:t>
      </w:r>
      <w:r>
        <w:rPr>
          <w:rFonts w:ascii="仿宋_GB2312" w:hAnsi="Arial" w:eastAsia="仿宋_GB2312" w:cs="Arial"/>
          <w:color w:val="000000" w:themeColor="text1"/>
          <w:kern w:val="0"/>
          <w:sz w:val="32"/>
          <w:szCs w:val="32"/>
          <w14:textFill>
            <w14:solidFill>
              <w14:schemeClr w14:val="tx1"/>
            </w14:solidFill>
          </w14:textFill>
        </w:rPr>
        <w:t>装备、</w:t>
      </w:r>
      <w:r>
        <w:rPr>
          <w:rFonts w:hint="eastAsia" w:ascii="仿宋_GB2312" w:hAnsi="Arial" w:eastAsia="仿宋_GB2312" w:cs="Arial"/>
          <w:color w:val="000000" w:themeColor="text1"/>
          <w:kern w:val="0"/>
          <w:sz w:val="32"/>
          <w:szCs w:val="32"/>
          <w14:textFill>
            <w14:solidFill>
              <w14:schemeClr w14:val="tx1"/>
            </w14:solidFill>
          </w14:textFill>
        </w:rPr>
        <w:t>智能检测与装配、智能仓储装备等领域，推动</w:t>
      </w:r>
      <w:r>
        <w:rPr>
          <w:rFonts w:ascii="仿宋_GB2312" w:eastAsia="仿宋_GB2312"/>
          <w:sz w:val="32"/>
        </w:rPr>
        <w:t>大规模个性化定制</w:t>
      </w:r>
      <w:r>
        <w:rPr>
          <w:rFonts w:hint="eastAsia" w:ascii="仿宋_GB2312" w:eastAsia="仿宋_GB2312"/>
          <w:sz w:val="32"/>
        </w:rPr>
        <w:t>、</w:t>
      </w:r>
      <w:r>
        <w:rPr>
          <w:rFonts w:ascii="仿宋_GB2312" w:eastAsia="仿宋_GB2312"/>
          <w:sz w:val="32"/>
        </w:rPr>
        <w:t>产品全生命周期数字一体化</w:t>
      </w:r>
      <w:r>
        <w:rPr>
          <w:rFonts w:hint="eastAsia" w:ascii="仿宋_GB2312" w:eastAsia="仿宋_GB2312"/>
          <w:sz w:val="32"/>
        </w:rPr>
        <w:t>，</w:t>
      </w:r>
      <w:r>
        <w:rPr>
          <w:rFonts w:ascii="仿宋_GB2312" w:eastAsia="仿宋_GB2312"/>
          <w:sz w:val="32"/>
        </w:rPr>
        <w:t>柔性制造、</w:t>
      </w:r>
      <w:r>
        <w:rPr>
          <w:rFonts w:hint="eastAsia" w:ascii="仿宋_GB2312" w:eastAsia="仿宋_GB2312"/>
          <w:sz w:val="32"/>
        </w:rPr>
        <w:t>互联</w:t>
      </w:r>
      <w:r>
        <w:rPr>
          <w:rFonts w:ascii="仿宋_GB2312" w:eastAsia="仿宋_GB2312"/>
          <w:sz w:val="32"/>
        </w:rPr>
        <w:t>工厂、产品全生命周期可追溯、全生产过程能源优化管理、网络协同制造和远程运维服务</w:t>
      </w:r>
      <w:r>
        <w:rPr>
          <w:rFonts w:hint="eastAsia" w:ascii="仿宋_GB2312" w:eastAsia="仿宋_GB2312"/>
          <w:sz w:val="32"/>
        </w:rPr>
        <w:t>、增材制造</w:t>
      </w:r>
      <w:r>
        <w:rPr>
          <w:rFonts w:hint="eastAsia" w:ascii="仿宋_GB2312" w:hAnsi="Arial" w:eastAsia="仿宋_GB2312" w:cs="Arial"/>
          <w:color w:val="000000" w:themeColor="text1"/>
          <w:kern w:val="0"/>
          <w:sz w:val="32"/>
          <w:szCs w:val="32"/>
          <w14:textFill>
            <w14:solidFill>
              <w14:schemeClr w14:val="tx1"/>
            </w14:solidFill>
          </w14:textFill>
        </w:rPr>
        <w:t>等制造模式创新，</w:t>
      </w:r>
      <w:r>
        <w:rPr>
          <w:rFonts w:ascii="仿宋_GB2312" w:hAnsi="Arial" w:eastAsia="仿宋_GB2312" w:cs="Arial"/>
          <w:color w:val="000000" w:themeColor="text1"/>
          <w:kern w:val="0"/>
          <w:sz w:val="32"/>
          <w:szCs w:val="32"/>
          <w14:textFill>
            <w14:solidFill>
              <w14:schemeClr w14:val="tx1"/>
            </w14:solidFill>
          </w14:textFill>
        </w:rPr>
        <w:t>对</w:t>
      </w:r>
      <w:r>
        <w:rPr>
          <w:rFonts w:hint="eastAsia" w:ascii="仿宋_GB2312" w:hAnsi="Arial" w:eastAsia="仿宋_GB2312" w:cs="Arial"/>
          <w:color w:val="000000" w:themeColor="text1"/>
          <w:kern w:val="0"/>
          <w:sz w:val="32"/>
          <w:szCs w:val="32"/>
          <w14:textFill>
            <w14:solidFill>
              <w14:schemeClr w14:val="tx1"/>
            </w14:solidFill>
          </w14:textFill>
        </w:rPr>
        <w:t>列入</w:t>
      </w:r>
      <w:r>
        <w:rPr>
          <w:rFonts w:ascii="仿宋_GB2312" w:hAnsi="Arial" w:eastAsia="仿宋_GB2312" w:cs="Arial"/>
          <w:color w:val="000000" w:themeColor="text1"/>
          <w:kern w:val="0"/>
          <w:sz w:val="32"/>
          <w:szCs w:val="32"/>
          <w14:textFill>
            <w14:solidFill>
              <w14:schemeClr w14:val="tx1"/>
            </w14:solidFill>
          </w14:textFill>
        </w:rPr>
        <w:t>国家</w:t>
      </w:r>
      <w:r>
        <w:rPr>
          <w:rFonts w:hint="eastAsia" w:ascii="仿宋_GB2312" w:hAnsi="Arial" w:eastAsia="仿宋_GB2312" w:cs="Arial"/>
          <w:color w:val="000000" w:themeColor="text1"/>
          <w:kern w:val="0"/>
          <w:sz w:val="32"/>
          <w:szCs w:val="32"/>
          <w14:textFill>
            <w14:solidFill>
              <w14:schemeClr w14:val="tx1"/>
            </w14:solidFill>
          </w14:textFill>
        </w:rPr>
        <w:t>级、</w:t>
      </w:r>
      <w:r>
        <w:rPr>
          <w:rFonts w:ascii="仿宋_GB2312" w:hAnsi="Arial" w:eastAsia="仿宋_GB2312" w:cs="Arial"/>
          <w:color w:val="000000" w:themeColor="text1"/>
          <w:kern w:val="0"/>
          <w:sz w:val="32"/>
          <w:szCs w:val="32"/>
          <w14:textFill>
            <w14:solidFill>
              <w14:schemeClr w14:val="tx1"/>
            </w14:solidFill>
          </w14:textFill>
        </w:rPr>
        <w:t>省级</w:t>
      </w:r>
      <w:r>
        <w:rPr>
          <w:rFonts w:hint="eastAsia" w:ascii="仿宋_GB2312" w:hAnsi="Arial" w:eastAsia="仿宋_GB2312" w:cs="Arial"/>
          <w:color w:val="000000" w:themeColor="text1"/>
          <w:kern w:val="0"/>
          <w:sz w:val="32"/>
          <w:szCs w:val="32"/>
          <w14:textFill>
            <w14:solidFill>
              <w14:schemeClr w14:val="tx1"/>
            </w14:solidFill>
          </w14:textFill>
        </w:rPr>
        <w:t>、</w:t>
      </w:r>
      <w:r>
        <w:rPr>
          <w:rFonts w:ascii="仿宋_GB2312" w:hAnsi="Arial" w:eastAsia="仿宋_GB2312" w:cs="Arial"/>
          <w:color w:val="000000" w:themeColor="text1"/>
          <w:kern w:val="0"/>
          <w:sz w:val="32"/>
          <w:szCs w:val="32"/>
          <w14:textFill>
            <w14:solidFill>
              <w14:schemeClr w14:val="tx1"/>
            </w14:solidFill>
          </w14:textFill>
        </w:rPr>
        <w:t>市级</w:t>
      </w:r>
      <w:r>
        <w:rPr>
          <w:rFonts w:hint="eastAsia" w:ascii="仿宋_GB2312" w:hAnsi="Arial" w:eastAsia="仿宋_GB2312" w:cs="Arial"/>
          <w:color w:val="000000" w:themeColor="text1"/>
          <w:kern w:val="0"/>
          <w:sz w:val="32"/>
          <w:szCs w:val="32"/>
          <w14:textFill>
            <w14:solidFill>
              <w14:schemeClr w14:val="tx1"/>
            </w14:solidFill>
          </w14:textFill>
        </w:rPr>
        <w:t>智能</w:t>
      </w:r>
      <w:r>
        <w:rPr>
          <w:rFonts w:ascii="仿宋_GB2312" w:hAnsi="Arial" w:eastAsia="仿宋_GB2312" w:cs="Arial"/>
          <w:color w:val="000000" w:themeColor="text1"/>
          <w:kern w:val="0"/>
          <w:sz w:val="32"/>
          <w:szCs w:val="32"/>
          <w14:textFill>
            <w14:solidFill>
              <w14:schemeClr w14:val="tx1"/>
            </w14:solidFill>
          </w14:textFill>
        </w:rPr>
        <w:t>制造试点</w:t>
      </w:r>
      <w:r>
        <w:rPr>
          <w:rFonts w:hint="eastAsia" w:ascii="仿宋_GB2312" w:hAnsi="Arial" w:eastAsia="仿宋_GB2312" w:cs="Arial"/>
          <w:color w:val="000000" w:themeColor="text1"/>
          <w:kern w:val="0"/>
          <w:sz w:val="32"/>
          <w:szCs w:val="32"/>
          <w14:textFill>
            <w14:solidFill>
              <w14:schemeClr w14:val="tx1"/>
            </w14:solidFill>
          </w14:textFill>
        </w:rPr>
        <w:t>示范项目的，分别给予3</w:t>
      </w:r>
      <w:r>
        <w:rPr>
          <w:rFonts w:ascii="仿宋_GB2312" w:hAnsi="Arial" w:eastAsia="仿宋_GB2312" w:cs="Arial"/>
          <w:color w:val="000000" w:themeColor="text1"/>
          <w:kern w:val="0"/>
          <w:sz w:val="32"/>
          <w:szCs w:val="32"/>
          <w14:textFill>
            <w14:solidFill>
              <w14:schemeClr w14:val="tx1"/>
            </w14:solidFill>
          </w14:textFill>
        </w:rPr>
        <w:t>00</w:t>
      </w:r>
      <w:r>
        <w:rPr>
          <w:rFonts w:hint="eastAsia" w:ascii="仿宋_GB2312" w:hAnsi="Arial" w:eastAsia="仿宋_GB2312" w:cs="Arial"/>
          <w:color w:val="000000" w:themeColor="text1"/>
          <w:kern w:val="0"/>
          <w:sz w:val="32"/>
          <w:szCs w:val="32"/>
          <w14:textFill>
            <w14:solidFill>
              <w14:schemeClr w14:val="tx1"/>
            </w14:solidFill>
          </w14:textFill>
        </w:rPr>
        <w:t>万元、200万元、100万元</w:t>
      </w:r>
      <w:r>
        <w:rPr>
          <w:rFonts w:ascii="仿宋_GB2312" w:hAnsi="Arial" w:eastAsia="仿宋_GB2312" w:cs="Arial"/>
          <w:color w:val="000000" w:themeColor="text1"/>
          <w:kern w:val="0"/>
          <w:sz w:val="32"/>
          <w:szCs w:val="32"/>
          <w14:textFill>
            <w14:solidFill>
              <w14:schemeClr w14:val="tx1"/>
            </w14:solidFill>
          </w14:textFill>
        </w:rPr>
        <w:t>奖励。</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19、支持试点推广应用。支持工业企业与软件企业合作，发展工业研发设计、生产制造、经营管理、服务等全生命周期管理的工业软件产品及应用解决方案，培育一批面向工业领域业务应用的工业APP。对技术水平在国际或国内领先、有自主知识产权和良好推广应用价值的首版次软件产品（含</w:t>
      </w:r>
      <w:r>
        <w:rPr>
          <w:rFonts w:ascii="仿宋_GB2312" w:hAnsi="Arial" w:eastAsia="仿宋_GB2312" w:cs="Arial"/>
          <w:color w:val="000000" w:themeColor="text1"/>
          <w:kern w:val="0"/>
          <w:sz w:val="32"/>
          <w:szCs w:val="32"/>
          <w14:textFill>
            <w14:solidFill>
              <w14:schemeClr w14:val="tx1"/>
            </w14:solidFill>
          </w14:textFill>
        </w:rPr>
        <w:t>工业APP</w:t>
      </w:r>
      <w:r>
        <w:rPr>
          <w:rFonts w:hint="eastAsia" w:ascii="仿宋_GB2312" w:hAnsi="Arial" w:eastAsia="仿宋_GB2312" w:cs="Arial"/>
          <w:color w:val="000000" w:themeColor="text1"/>
          <w:kern w:val="0"/>
          <w:sz w:val="32"/>
          <w:szCs w:val="32"/>
          <w14:textFill>
            <w14:solidFill>
              <w14:schemeClr w14:val="tx1"/>
            </w14:solidFill>
          </w14:textFill>
        </w:rPr>
        <w:t>），按照该产品销售后1年内销售合同累计到账额的30%给予资助,最高不超过</w:t>
      </w:r>
      <w:r>
        <w:rPr>
          <w:rFonts w:ascii="仿宋_GB2312" w:hAnsi="Arial" w:eastAsia="仿宋_GB2312" w:cs="Arial"/>
          <w:color w:val="000000" w:themeColor="text1"/>
          <w:kern w:val="0"/>
          <w:sz w:val="32"/>
          <w:szCs w:val="32"/>
          <w14:textFill>
            <w14:solidFill>
              <w14:schemeClr w14:val="tx1"/>
            </w14:solidFill>
          </w14:textFill>
        </w:rPr>
        <w:t>1</w:t>
      </w:r>
      <w:r>
        <w:rPr>
          <w:rFonts w:hint="eastAsia" w:ascii="仿宋_GB2312" w:hAnsi="Arial" w:eastAsia="仿宋_GB2312" w:cs="Arial"/>
          <w:color w:val="000000" w:themeColor="text1"/>
          <w:kern w:val="0"/>
          <w:sz w:val="32"/>
          <w:szCs w:val="32"/>
          <w14:textFill>
            <w14:solidFill>
              <w14:schemeClr w14:val="tx1"/>
            </w14:solidFill>
          </w14:textFill>
        </w:rPr>
        <w:t>00万元。对首次采购或首次使用具有明确自主知识产权和自主品牌的各类信息系统解决方案，且采购费用达100万元（含）以上的，给予实际采购费用30%的补贴，每家单位最高不超过100万元。</w:t>
      </w:r>
    </w:p>
    <w:p>
      <w:pPr>
        <w:widowControl/>
        <w:spacing w:line="600" w:lineRule="exact"/>
        <w:rPr>
          <w:rFonts w:ascii="黑体" w:hAnsi="黑体" w:eastAsia="黑体"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 xml:space="preserve">     </w:t>
      </w:r>
      <w:r>
        <w:rPr>
          <w:rFonts w:hint="eastAsia" w:ascii="黑体" w:hAnsi="黑体" w:eastAsia="黑体" w:cs="Arial"/>
          <w:color w:val="000000" w:themeColor="text1"/>
          <w:kern w:val="0"/>
          <w:sz w:val="32"/>
          <w:szCs w:val="32"/>
          <w14:textFill>
            <w14:solidFill>
              <w14:schemeClr w14:val="tx1"/>
            </w14:solidFill>
          </w14:textFill>
        </w:rPr>
        <w:t>六、支持试点示范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Arial" w:eastAsia="仿宋_GB2312" w:cs="Arial"/>
          <w:color w:val="000000" w:themeColor="text1"/>
          <w:kern w:val="0"/>
          <w:sz w:val="32"/>
          <w:szCs w:val="32"/>
          <w14:textFill>
            <w14:solidFill>
              <w14:schemeClr w14:val="tx1"/>
            </w14:solidFill>
          </w14:textFill>
        </w:rPr>
        <w:t>20、</w:t>
      </w:r>
      <w:r>
        <w:rPr>
          <w:rFonts w:hint="eastAsia" w:ascii="仿宋_GB2312" w:hAnsi="仿宋_GB2312" w:eastAsia="仿宋_GB2312" w:cs="仿宋_GB2312"/>
          <w:sz w:val="32"/>
          <w:szCs w:val="32"/>
        </w:rPr>
        <w:t>支持新型智慧城市试点示范。重点培育智慧应用试点示范项目应用工程，按项目实际投资额的10%给予补助，最高不超过100万元。</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2</w:t>
      </w:r>
      <w:r>
        <w:rPr>
          <w:rFonts w:hint="eastAsia" w:ascii="仿宋_GB2312" w:hAnsi="Arial" w:eastAsia="仿宋_GB2312" w:cs="Arial"/>
          <w:color w:val="000000" w:themeColor="text1"/>
          <w:kern w:val="0"/>
          <w:sz w:val="32"/>
          <w:szCs w:val="32"/>
          <w14:textFill>
            <w14:solidFill>
              <w14:schemeClr w14:val="tx1"/>
            </w14:solidFill>
          </w14:textFill>
        </w:rPr>
        <w:t>1、</w:t>
      </w:r>
      <w:r>
        <w:rPr>
          <w:rFonts w:hint="eastAsia" w:ascii="仿宋_GB2312" w:hAnsi="仿宋_GB2312" w:eastAsia="仿宋_GB2312" w:cs="仿宋_GB2312"/>
          <w:sz w:val="32"/>
          <w:szCs w:val="32"/>
        </w:rPr>
        <w:t>鼓励企业积极参与“两化”融合贯标，对通过“两化”融合管理体系贯标评定的企业，给予3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万元的一次性奖励。对两化融合示范企业给予</w:t>
      </w:r>
      <w:r>
        <w:rPr>
          <w:rFonts w:hint="eastAsia" w:ascii="仿宋_GB2312" w:hAnsi="Arial" w:eastAsia="仿宋_GB2312" w:cs="Arial"/>
          <w:color w:val="000000" w:themeColor="text1"/>
          <w:kern w:val="0"/>
          <w:sz w:val="32"/>
          <w:szCs w:val="32"/>
          <w14:textFill>
            <w14:solidFill>
              <w14:schemeClr w14:val="tx1"/>
            </w14:solidFill>
          </w14:textFill>
        </w:rPr>
        <w:t>最高不超过100万元的奖励。</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2</w:t>
      </w:r>
      <w:r>
        <w:rPr>
          <w:rFonts w:hint="eastAsia" w:ascii="仿宋_GB2312" w:hAnsi="Arial" w:eastAsia="仿宋_GB2312" w:cs="Arial"/>
          <w:color w:val="000000" w:themeColor="text1"/>
          <w:kern w:val="0"/>
          <w:sz w:val="32"/>
          <w:szCs w:val="32"/>
          <w14:textFill>
            <w14:solidFill>
              <w14:schemeClr w14:val="tx1"/>
            </w14:solidFill>
          </w14:textFill>
        </w:rPr>
        <w:t>2、鼓励研发和使用首台(套)高端</w:t>
      </w:r>
      <w:r>
        <w:rPr>
          <w:rFonts w:ascii="仿宋_GB2312" w:hAnsi="Arial" w:eastAsia="仿宋_GB2312" w:cs="Arial"/>
          <w:color w:val="000000" w:themeColor="text1"/>
          <w:kern w:val="0"/>
          <w:sz w:val="32"/>
          <w:szCs w:val="32"/>
          <w14:textFill>
            <w14:solidFill>
              <w14:schemeClr w14:val="tx1"/>
            </w14:solidFill>
          </w14:textFill>
        </w:rPr>
        <w:t>装备</w:t>
      </w:r>
      <w:r>
        <w:rPr>
          <w:rFonts w:hint="eastAsia" w:ascii="仿宋_GB2312" w:hAnsi="Arial" w:eastAsia="仿宋_GB2312" w:cs="Arial"/>
          <w:color w:val="000000" w:themeColor="text1"/>
          <w:kern w:val="0"/>
          <w:sz w:val="32"/>
          <w:szCs w:val="32"/>
          <w14:textFill>
            <w14:solidFill>
              <w14:schemeClr w14:val="tx1"/>
            </w14:solidFill>
          </w14:textFill>
        </w:rPr>
        <w:t>。对认定为国内、省内首台(套)技术装备和关键核心零部件的</w:t>
      </w:r>
      <w:r>
        <w:rPr>
          <w:rFonts w:ascii="仿宋_GB2312" w:hAnsi="Arial" w:eastAsia="仿宋_GB2312" w:cs="Arial"/>
          <w:color w:val="000000" w:themeColor="text1"/>
          <w:kern w:val="0"/>
          <w:sz w:val="32"/>
          <w:szCs w:val="32"/>
          <w14:textFill>
            <w14:solidFill>
              <w14:schemeClr w14:val="tx1"/>
            </w14:solidFill>
          </w14:textFill>
        </w:rPr>
        <w:t>，按照</w:t>
      </w:r>
      <w:r>
        <w:rPr>
          <w:rFonts w:hint="eastAsia" w:ascii="仿宋_GB2312" w:hAnsi="Arial" w:eastAsia="仿宋_GB2312" w:cs="Arial"/>
          <w:color w:val="000000" w:themeColor="text1"/>
          <w:kern w:val="0"/>
          <w:sz w:val="32"/>
          <w:szCs w:val="32"/>
          <w14:textFill>
            <w14:solidFill>
              <w14:schemeClr w14:val="tx1"/>
            </w14:solidFill>
          </w14:textFill>
        </w:rPr>
        <w:t>产品</w:t>
      </w:r>
      <w:r>
        <w:rPr>
          <w:rFonts w:ascii="仿宋_GB2312" w:hAnsi="Arial" w:eastAsia="仿宋_GB2312" w:cs="Arial"/>
          <w:color w:val="000000" w:themeColor="text1"/>
          <w:kern w:val="0"/>
          <w:sz w:val="32"/>
          <w:szCs w:val="32"/>
          <w14:textFill>
            <w14:solidFill>
              <w14:schemeClr w14:val="tx1"/>
            </w14:solidFill>
          </w14:textFill>
        </w:rPr>
        <w:t>首次销售</w:t>
      </w:r>
      <w:r>
        <w:rPr>
          <w:rFonts w:hint="eastAsia" w:ascii="仿宋_GB2312" w:hAnsi="Arial" w:eastAsia="仿宋_GB2312" w:cs="Arial"/>
          <w:color w:val="000000" w:themeColor="text1"/>
          <w:kern w:val="0"/>
          <w:sz w:val="32"/>
          <w:szCs w:val="32"/>
          <w14:textFill>
            <w14:solidFill>
              <w14:schemeClr w14:val="tx1"/>
            </w14:solidFill>
          </w14:textFill>
        </w:rPr>
        <w:t>合同</w:t>
      </w:r>
      <w:r>
        <w:rPr>
          <w:rFonts w:ascii="仿宋_GB2312" w:hAnsi="Arial" w:eastAsia="仿宋_GB2312" w:cs="Arial"/>
          <w:color w:val="000000" w:themeColor="text1"/>
          <w:kern w:val="0"/>
          <w:sz w:val="32"/>
          <w:szCs w:val="32"/>
          <w14:textFill>
            <w14:solidFill>
              <w14:schemeClr w14:val="tx1"/>
            </w14:solidFill>
          </w14:textFill>
        </w:rPr>
        <w:t>额</w:t>
      </w:r>
      <w:r>
        <w:rPr>
          <w:rFonts w:hint="eastAsia" w:ascii="仿宋_GB2312" w:hAnsi="Arial" w:eastAsia="仿宋_GB2312" w:cs="Arial"/>
          <w:color w:val="000000" w:themeColor="text1"/>
          <w:kern w:val="0"/>
          <w:sz w:val="32"/>
          <w:szCs w:val="32"/>
          <w14:textFill>
            <w14:solidFill>
              <w14:schemeClr w14:val="tx1"/>
            </w14:solidFill>
          </w14:textFill>
        </w:rPr>
        <w:t>分别给予研发单位和使用单位各</w:t>
      </w:r>
      <w:r>
        <w:rPr>
          <w:rFonts w:ascii="仿宋_GB2312" w:hAnsi="Arial" w:eastAsia="仿宋_GB2312" w:cs="Arial"/>
          <w:color w:val="000000" w:themeColor="text1"/>
          <w:kern w:val="0"/>
          <w:sz w:val="32"/>
          <w:szCs w:val="32"/>
          <w14:textFill>
            <w14:solidFill>
              <w14:schemeClr w14:val="tx1"/>
            </w14:solidFill>
          </w14:textFill>
        </w:rPr>
        <w:t>1</w:t>
      </w:r>
      <w:r>
        <w:rPr>
          <w:rFonts w:hint="eastAsia" w:ascii="仿宋_GB2312" w:hAnsi="Arial" w:eastAsia="仿宋_GB2312" w:cs="Arial"/>
          <w:color w:val="000000" w:themeColor="text1"/>
          <w:kern w:val="0"/>
          <w:sz w:val="32"/>
          <w:szCs w:val="32"/>
          <w14:textFill>
            <w14:solidFill>
              <w14:schemeClr w14:val="tx1"/>
            </w14:solidFill>
          </w14:textFill>
        </w:rPr>
        <w:t>0</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的</w:t>
      </w:r>
      <w:r>
        <w:rPr>
          <w:rFonts w:ascii="仿宋_GB2312" w:hAnsi="Arial" w:eastAsia="仿宋_GB2312" w:cs="Arial"/>
          <w:color w:val="000000" w:themeColor="text1"/>
          <w:kern w:val="0"/>
          <w:sz w:val="32"/>
          <w:szCs w:val="32"/>
          <w14:textFill>
            <w14:solidFill>
              <w14:schemeClr w14:val="tx1"/>
            </w14:solidFill>
          </w14:textFill>
        </w:rPr>
        <w:t>奖励，</w:t>
      </w:r>
      <w:r>
        <w:rPr>
          <w:rFonts w:hint="eastAsia" w:ascii="仿宋_GB2312" w:hAnsi="Arial" w:eastAsia="仿宋_GB2312" w:cs="Arial"/>
          <w:color w:val="000000" w:themeColor="text1"/>
          <w:kern w:val="0"/>
          <w:sz w:val="32"/>
          <w:szCs w:val="32"/>
          <w14:textFill>
            <w14:solidFill>
              <w14:schemeClr w14:val="tx1"/>
            </w14:solidFill>
          </w14:textFill>
        </w:rPr>
        <w:t>每家企业最高奖励</w:t>
      </w:r>
      <w:r>
        <w:rPr>
          <w:rFonts w:ascii="仿宋_GB2312" w:hAnsi="Arial" w:eastAsia="仿宋_GB2312" w:cs="Arial"/>
          <w:color w:val="000000" w:themeColor="text1"/>
          <w:kern w:val="0"/>
          <w:sz w:val="32"/>
          <w:szCs w:val="32"/>
          <w14:textFill>
            <w14:solidFill>
              <w14:schemeClr w14:val="tx1"/>
            </w14:solidFill>
          </w14:textFill>
        </w:rPr>
        <w:t>20</w:t>
      </w:r>
      <w:r>
        <w:rPr>
          <w:rFonts w:hint="eastAsia" w:ascii="仿宋_GB2312" w:hAnsi="Arial" w:eastAsia="仿宋_GB2312" w:cs="Arial"/>
          <w:color w:val="000000" w:themeColor="text1"/>
          <w:kern w:val="0"/>
          <w:sz w:val="32"/>
          <w:szCs w:val="32"/>
          <w14:textFill>
            <w14:solidFill>
              <w14:schemeClr w14:val="tx1"/>
            </w14:solidFill>
          </w14:textFill>
        </w:rPr>
        <w:t>0万元。加大新能源汽车、智能网联汽车的推广支持力度，对每个公告车型给予最高不超过100万元奖励。</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23、</w:t>
      </w:r>
      <w:r>
        <w:rPr>
          <w:rFonts w:ascii="仿宋_GB2312" w:eastAsia="仿宋_GB2312"/>
          <w:sz w:val="32"/>
          <w:szCs w:val="32"/>
        </w:rPr>
        <w:t>鼓励数据资源开发利用。鼓励高等院校、科研机构、创业创新团体、企业等单位充分利用，深度开发数据资源，对优秀的数据资源开发利用项目或产品，给予每个项目或产品不高于50万元的奖励</w:t>
      </w:r>
      <w:r>
        <w:rPr>
          <w:rFonts w:hint="eastAsia" w:ascii="仿宋_GB2312" w:eastAsia="仿宋_GB2312"/>
          <w:sz w:val="32"/>
          <w:szCs w:val="32"/>
        </w:rPr>
        <w:t>。</w:t>
      </w:r>
    </w:p>
    <w:p>
      <w:pPr>
        <w:widowControl/>
        <w:spacing w:line="600" w:lineRule="exact"/>
        <w:ind w:firstLine="640" w:firstLineChars="200"/>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color w:val="000000" w:themeColor="text1"/>
          <w:kern w:val="0"/>
          <w:sz w:val="32"/>
          <w:szCs w:val="32"/>
          <w14:textFill>
            <w14:solidFill>
              <w14:schemeClr w14:val="tx1"/>
            </w14:solidFill>
          </w14:textFill>
        </w:rPr>
        <w:t>七、优化发展环境</w:t>
      </w:r>
    </w:p>
    <w:p>
      <w:pPr>
        <w:widowControl/>
        <w:spacing w:line="570" w:lineRule="exact"/>
        <w:ind w:firstLine="640" w:firstLineChars="200"/>
        <w:rPr>
          <w:rFonts w:ascii="仿宋_GB2312" w:hAnsi="仿宋" w:eastAsia="仿宋_GB2312" w:cs="方正仿宋_GBK"/>
          <w:sz w:val="32"/>
          <w:szCs w:val="32"/>
        </w:rPr>
      </w:pPr>
      <w:r>
        <w:rPr>
          <w:rFonts w:hint="eastAsia" w:ascii="仿宋_GB2312" w:hAnsi="仿宋" w:eastAsia="仿宋_GB2312" w:cs="方正仿宋_GBK"/>
          <w:sz w:val="32"/>
          <w:szCs w:val="32"/>
        </w:rPr>
        <w:t>24、支持中小企业创新创业示范试点。</w:t>
      </w:r>
      <w:r>
        <w:rPr>
          <w:rFonts w:hint="eastAsia" w:ascii="仿宋_GB2312" w:hAnsi="仿宋" w:eastAsia="仿宋_GB2312" w:cs="方正仿宋_GBK"/>
          <w:bCs/>
          <w:sz w:val="32"/>
          <w:szCs w:val="32"/>
        </w:rPr>
        <w:t>对2019年1月1日后认定的国家中小企业公共服务示范平台，在省财政奖励基础上，给予一次性奖励50万元；对新认定的省级中小企业公共服务示范平台，给予一次性奖励20万元。</w:t>
      </w:r>
      <w:r>
        <w:rPr>
          <w:rFonts w:hint="eastAsia" w:ascii="仿宋_GB2312" w:hAnsi="仿宋" w:eastAsia="仿宋_GB2312" w:cs="方正仿宋_GBK"/>
          <w:sz w:val="32"/>
          <w:szCs w:val="32"/>
        </w:rPr>
        <w:t>对</w:t>
      </w:r>
      <w:r>
        <w:rPr>
          <w:rFonts w:hint="eastAsia" w:ascii="仿宋_GB2312" w:hAnsi="仿宋" w:eastAsia="仿宋_GB2312" w:cs="方正仿宋_GBK"/>
          <w:bCs/>
          <w:sz w:val="32"/>
          <w:szCs w:val="32"/>
        </w:rPr>
        <w:t>2019年1月1日后</w:t>
      </w:r>
      <w:r>
        <w:rPr>
          <w:rFonts w:hint="eastAsia" w:ascii="仿宋_GB2312" w:hAnsi="仿宋" w:eastAsia="仿宋_GB2312" w:cs="方正仿宋_GBK"/>
          <w:sz w:val="32"/>
          <w:szCs w:val="32"/>
        </w:rPr>
        <w:t>认定的国家小微企业创业创新示范基地、国家科技孵化器等在省财政奖励的基础上分别给予一次奖励50万。</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2</w:t>
      </w:r>
      <w:r>
        <w:rPr>
          <w:rFonts w:ascii="仿宋_GB2312" w:hAnsi="Arial" w:eastAsia="仿宋_GB2312" w:cs="Arial"/>
          <w:color w:val="000000" w:themeColor="text1"/>
          <w:kern w:val="0"/>
          <w:sz w:val="32"/>
          <w:szCs w:val="32"/>
          <w14:textFill>
            <w14:solidFill>
              <w14:schemeClr w14:val="tx1"/>
            </w14:solidFill>
          </w14:textFill>
        </w:rPr>
        <w:t>5</w:t>
      </w:r>
      <w:r>
        <w:rPr>
          <w:rFonts w:hint="eastAsia" w:ascii="仿宋_GB2312" w:hAnsi="Arial" w:eastAsia="仿宋_GB2312" w:cs="Arial"/>
          <w:color w:val="000000" w:themeColor="text1"/>
          <w:kern w:val="0"/>
          <w:sz w:val="32"/>
          <w:szCs w:val="32"/>
          <w14:textFill>
            <w14:solidFill>
              <w14:schemeClr w14:val="tx1"/>
            </w14:solidFill>
          </w14:textFill>
        </w:rPr>
        <w:t>、加大财政资金和金融支持。设立济南市</w:t>
      </w:r>
      <w:r>
        <w:rPr>
          <w:rFonts w:ascii="仿宋_GB2312" w:hAnsi="Arial" w:eastAsia="仿宋_GB2312" w:cs="Arial"/>
          <w:color w:val="000000" w:themeColor="text1"/>
          <w:kern w:val="0"/>
          <w:sz w:val="32"/>
          <w:szCs w:val="32"/>
          <w14:textFill>
            <w14:solidFill>
              <w14:schemeClr w14:val="tx1"/>
            </w14:solidFill>
          </w14:textFill>
        </w:rPr>
        <w:t>数字经济</w:t>
      </w:r>
      <w:r>
        <w:rPr>
          <w:rFonts w:hint="eastAsia" w:ascii="仿宋_GB2312" w:hAnsi="Arial" w:eastAsia="仿宋_GB2312" w:cs="Arial"/>
          <w:color w:val="000000" w:themeColor="text1"/>
          <w:kern w:val="0"/>
          <w:sz w:val="32"/>
          <w:szCs w:val="32"/>
          <w14:textFill>
            <w14:solidFill>
              <w14:schemeClr w14:val="tx1"/>
            </w14:solidFill>
          </w14:textFill>
        </w:rPr>
        <w:t>和先进制造业</w:t>
      </w:r>
      <w:r>
        <w:rPr>
          <w:rFonts w:ascii="仿宋_GB2312" w:hAnsi="Arial" w:eastAsia="仿宋_GB2312" w:cs="Arial"/>
          <w:color w:val="000000" w:themeColor="text1"/>
          <w:kern w:val="0"/>
          <w:sz w:val="32"/>
          <w:szCs w:val="32"/>
          <w14:textFill>
            <w14:solidFill>
              <w14:schemeClr w14:val="tx1"/>
            </w14:solidFill>
          </w14:textFill>
        </w:rPr>
        <w:t>发展</w:t>
      </w:r>
      <w:r>
        <w:rPr>
          <w:rFonts w:hint="eastAsia" w:ascii="仿宋_GB2312" w:hAnsi="Arial" w:eastAsia="仿宋_GB2312" w:cs="Arial"/>
          <w:color w:val="000000" w:themeColor="text1"/>
          <w:kern w:val="0"/>
          <w:sz w:val="32"/>
          <w:szCs w:val="32"/>
          <w14:textFill>
            <w14:solidFill>
              <w14:schemeClr w14:val="tx1"/>
            </w14:solidFill>
          </w14:textFill>
        </w:rPr>
        <w:t>专项资金</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大力支持数字经济和先进制造业创新和应用。创新财政资金支持方式，通过政府采购云计算、大数据等专业化第三方服务，发挥政府采购的示范带动作用。发挥政府</w:t>
      </w:r>
      <w:r>
        <w:rPr>
          <w:rFonts w:ascii="仿宋_GB2312" w:hAnsi="Arial" w:eastAsia="仿宋_GB2312" w:cs="Arial"/>
          <w:color w:val="000000" w:themeColor="text1"/>
          <w:kern w:val="0"/>
          <w:sz w:val="32"/>
          <w:szCs w:val="32"/>
          <w14:textFill>
            <w14:solidFill>
              <w14:schemeClr w14:val="tx1"/>
            </w14:solidFill>
          </w14:textFill>
        </w:rPr>
        <w:t>各类融资平台作用，</w:t>
      </w:r>
      <w:r>
        <w:rPr>
          <w:rFonts w:hint="eastAsia" w:ascii="仿宋_GB2312" w:hAnsi="Arial" w:eastAsia="仿宋_GB2312" w:cs="Arial"/>
          <w:color w:val="000000" w:themeColor="text1"/>
          <w:kern w:val="0"/>
          <w:sz w:val="32"/>
          <w:szCs w:val="32"/>
          <w14:textFill>
            <w14:solidFill>
              <w14:schemeClr w14:val="tx1"/>
            </w14:solidFill>
          </w14:textFill>
        </w:rPr>
        <w:t>大力推动金融产品和服务方式创新，发展符合需求特点的金融产品和服务模式，提供股权融资</w:t>
      </w:r>
      <w:r>
        <w:rPr>
          <w:rFonts w:ascii="仿宋_GB2312" w:hAnsi="Arial"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14:textFill>
            <w14:solidFill>
              <w14:schemeClr w14:val="tx1"/>
            </w14:solidFill>
          </w14:textFill>
        </w:rPr>
        <w:t>数据</w:t>
      </w:r>
      <w:r>
        <w:rPr>
          <w:rFonts w:ascii="仿宋_GB2312" w:hAnsi="Arial" w:eastAsia="仿宋_GB2312" w:cs="Arial"/>
          <w:color w:val="000000" w:themeColor="text1"/>
          <w:kern w:val="0"/>
          <w:sz w:val="32"/>
          <w:szCs w:val="32"/>
          <w14:textFill>
            <w14:solidFill>
              <w14:schemeClr w14:val="tx1"/>
            </w14:solidFill>
          </w14:textFill>
        </w:rPr>
        <w:t>资产质押等</w:t>
      </w:r>
      <w:r>
        <w:rPr>
          <w:rFonts w:hint="eastAsia" w:ascii="仿宋_GB2312" w:hAnsi="Arial" w:eastAsia="仿宋_GB2312" w:cs="Arial"/>
          <w:color w:val="000000" w:themeColor="text1"/>
          <w:kern w:val="0"/>
          <w:sz w:val="32"/>
          <w:szCs w:val="32"/>
          <w14:textFill>
            <w14:solidFill>
              <w14:schemeClr w14:val="tx1"/>
            </w14:solidFill>
          </w14:textFill>
        </w:rPr>
        <w:t>多元化融资便利。积极引导和支持企业上市融资、发行公司债券，扩大企业直接融资规模。</w:t>
      </w:r>
    </w:p>
    <w:p>
      <w:pPr>
        <w:widowControl/>
        <w:spacing w:line="600" w:lineRule="exact"/>
        <w:ind w:firstLine="645"/>
        <w:rPr>
          <w:rFonts w:ascii="仿宋_GB2312" w:hAnsi="Arial" w:eastAsia="仿宋_GB2312" w:cs="Arial"/>
          <w:color w:val="000000" w:themeColor="text1"/>
          <w:kern w:val="0"/>
          <w:sz w:val="32"/>
          <w:szCs w:val="32"/>
          <w14:textFill>
            <w14:solidFill>
              <w14:schemeClr w14:val="tx1"/>
            </w14:solidFill>
          </w14:textFill>
        </w:rPr>
      </w:pPr>
      <w:r>
        <w:rPr>
          <w:rFonts w:ascii="仿宋_GB2312" w:hAnsi="Arial" w:eastAsia="仿宋_GB2312" w:cs="Arial"/>
          <w:color w:val="000000" w:themeColor="text1"/>
          <w:kern w:val="0"/>
          <w:sz w:val="32"/>
          <w:szCs w:val="32"/>
          <w14:textFill>
            <w14:solidFill>
              <w14:schemeClr w14:val="tx1"/>
            </w14:solidFill>
          </w14:textFill>
        </w:rPr>
        <w:t>26</w:t>
      </w:r>
      <w:r>
        <w:rPr>
          <w:rFonts w:hint="eastAsia" w:ascii="仿宋_GB2312" w:hAnsi="Arial" w:eastAsia="仿宋_GB2312" w:cs="Arial"/>
          <w:color w:val="000000" w:themeColor="text1"/>
          <w:kern w:val="0"/>
          <w:sz w:val="32"/>
          <w:szCs w:val="32"/>
          <w14:textFill>
            <w14:solidFill>
              <w14:schemeClr w14:val="tx1"/>
            </w14:solidFill>
          </w14:textFill>
        </w:rPr>
        <w:t>、积极引进打造高端品牌展会（论坛）。策划、争办国际、国内数字经济领域高端展会、论坛，参照济南市促进会展业发展若干措施有关规定，每个会议给予补贴50—200万元。鼓励数字经济企业参加国内外展会，扩大宣传、开拓市场。对企业自主参加展会的展位费用，按不超过</w:t>
      </w:r>
      <w:r>
        <w:rPr>
          <w:rFonts w:ascii="仿宋_GB2312" w:hAnsi="Arial" w:eastAsia="仿宋_GB2312" w:cs="Arial"/>
          <w:color w:val="000000" w:themeColor="text1"/>
          <w:kern w:val="0"/>
          <w:sz w:val="32"/>
          <w:szCs w:val="32"/>
          <w14:textFill>
            <w14:solidFill>
              <w14:schemeClr w14:val="tx1"/>
            </w14:solidFill>
          </w14:textFill>
        </w:rPr>
        <w:t>40</w:t>
      </w:r>
      <w:r>
        <w:rPr>
          <w:rFonts w:hint="eastAsia" w:ascii="仿宋_GB2312" w:hAnsi="Arial" w:eastAsia="仿宋_GB2312" w:cs="Arial"/>
          <w:color w:val="000000" w:themeColor="text1"/>
          <w:kern w:val="0"/>
          <w:sz w:val="32"/>
          <w:szCs w:val="32"/>
          <w14:textFill>
            <w14:solidFill>
              <w14:schemeClr w14:val="tx1"/>
            </w14:solidFill>
          </w14:textFill>
        </w:rPr>
        <w:t>%比例给予补助，单个企业最高补助不超过10万元。对于各级政府组织企业参加展会的，展位费全额补助。</w:t>
      </w:r>
    </w:p>
    <w:p>
      <w:pPr>
        <w:widowControl/>
        <w:spacing w:line="600" w:lineRule="exact"/>
        <w:rPr>
          <w:rFonts w:ascii="仿宋_GB2312" w:hAnsi="Arial" w:eastAsia="仿宋_GB2312" w:cs="Arial"/>
          <w:color w:val="000000" w:themeColor="text1"/>
          <w:kern w:val="0"/>
          <w:sz w:val="32"/>
          <w:szCs w:val="32"/>
          <w14:textFill>
            <w14:solidFill>
              <w14:schemeClr w14:val="tx1"/>
            </w14:solidFill>
          </w14:textFill>
        </w:rPr>
      </w:pPr>
      <w:r>
        <w:rPr>
          <w:rFonts w:ascii="黑体" w:hAnsi="黑体" w:eastAsia="黑体" w:cs="Arial"/>
          <w:color w:val="000000" w:themeColor="text1"/>
          <w:kern w:val="0"/>
          <w:sz w:val="32"/>
          <w:szCs w:val="32"/>
          <w14:textFill>
            <w14:solidFill>
              <w14:schemeClr w14:val="tx1"/>
            </w14:solidFill>
          </w14:textFill>
        </w:rPr>
        <w:t xml:space="preserve">   </w:t>
      </w:r>
      <w:r>
        <w:rPr>
          <w:rFonts w:ascii="仿宋_GB2312" w:hAnsi="Arial" w:eastAsia="仿宋_GB2312" w:cs="Arial"/>
          <w:color w:val="000000" w:themeColor="text1"/>
          <w:kern w:val="0"/>
          <w:sz w:val="32"/>
          <w:szCs w:val="32"/>
          <w14:textFill>
            <w14:solidFill>
              <w14:schemeClr w14:val="tx1"/>
            </w14:solidFill>
          </w14:textFill>
        </w:rPr>
        <w:t xml:space="preserve"> </w:t>
      </w:r>
      <w:r>
        <w:rPr>
          <w:rFonts w:hint="eastAsia" w:ascii="仿宋_GB2312" w:hAnsi="Arial" w:eastAsia="仿宋_GB2312" w:cs="Arial"/>
          <w:color w:val="000000" w:themeColor="text1"/>
          <w:kern w:val="0"/>
          <w:sz w:val="32"/>
          <w:szCs w:val="32"/>
          <w14:textFill>
            <w14:solidFill>
              <w14:schemeClr w14:val="tx1"/>
            </w14:solidFill>
          </w14:textFill>
        </w:rPr>
        <w:t>本文所列政策用于扶持上一年度有关项目和企业，201</w:t>
      </w:r>
      <w:r>
        <w:rPr>
          <w:rFonts w:ascii="仿宋_GB2312" w:hAnsi="Arial" w:eastAsia="仿宋_GB2312" w:cs="Arial"/>
          <w:color w:val="000000" w:themeColor="text1"/>
          <w:kern w:val="0"/>
          <w:sz w:val="32"/>
          <w:szCs w:val="32"/>
          <w14:textFill>
            <w14:solidFill>
              <w14:schemeClr w14:val="tx1"/>
            </w14:solidFill>
          </w14:textFill>
        </w:rPr>
        <w:t>8</w:t>
      </w:r>
      <w:r>
        <w:rPr>
          <w:rFonts w:hint="eastAsia" w:ascii="仿宋_GB2312" w:hAnsi="Arial" w:eastAsia="仿宋_GB2312" w:cs="Arial"/>
          <w:color w:val="000000" w:themeColor="text1"/>
          <w:kern w:val="0"/>
          <w:sz w:val="32"/>
          <w:szCs w:val="32"/>
          <w14:textFill>
            <w14:solidFill>
              <w14:schemeClr w14:val="tx1"/>
            </w14:solidFill>
          </w14:textFill>
        </w:rPr>
        <w:t>年度已获得相应扶持的，不再重复支持。同一企业同一项目符合多项政策支持条件的，按单项支持额度最高的政策执行。各项奖励补助资金具体管理办法另行制定。</w:t>
      </w:r>
    </w:p>
    <w:p>
      <w:pPr>
        <w:widowControl/>
        <w:spacing w:line="60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楷体简体">
    <w:altName w:val="微软雅黑"/>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824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57"/>
    <w:rsid w:val="00007558"/>
    <w:rsid w:val="00007CC1"/>
    <w:rsid w:val="00011EB6"/>
    <w:rsid w:val="00014068"/>
    <w:rsid w:val="000149DB"/>
    <w:rsid w:val="00016622"/>
    <w:rsid w:val="00021001"/>
    <w:rsid w:val="000215EC"/>
    <w:rsid w:val="000236C4"/>
    <w:rsid w:val="000269DE"/>
    <w:rsid w:val="00027387"/>
    <w:rsid w:val="0003003D"/>
    <w:rsid w:val="000325CC"/>
    <w:rsid w:val="000340E1"/>
    <w:rsid w:val="0003529D"/>
    <w:rsid w:val="000378CA"/>
    <w:rsid w:val="000478FC"/>
    <w:rsid w:val="00050E5F"/>
    <w:rsid w:val="00050E61"/>
    <w:rsid w:val="00051832"/>
    <w:rsid w:val="00051D94"/>
    <w:rsid w:val="00055737"/>
    <w:rsid w:val="00055AF9"/>
    <w:rsid w:val="00057F33"/>
    <w:rsid w:val="000625A3"/>
    <w:rsid w:val="00062E66"/>
    <w:rsid w:val="00063FE0"/>
    <w:rsid w:val="000647B1"/>
    <w:rsid w:val="00073485"/>
    <w:rsid w:val="000737DA"/>
    <w:rsid w:val="00076104"/>
    <w:rsid w:val="00080E88"/>
    <w:rsid w:val="00081927"/>
    <w:rsid w:val="000829EE"/>
    <w:rsid w:val="00086307"/>
    <w:rsid w:val="0009289C"/>
    <w:rsid w:val="00093426"/>
    <w:rsid w:val="00094D9A"/>
    <w:rsid w:val="000972EB"/>
    <w:rsid w:val="000A0EB9"/>
    <w:rsid w:val="000A100D"/>
    <w:rsid w:val="000A10F1"/>
    <w:rsid w:val="000A2E29"/>
    <w:rsid w:val="000A5431"/>
    <w:rsid w:val="000A5EB7"/>
    <w:rsid w:val="000B33E1"/>
    <w:rsid w:val="000C120C"/>
    <w:rsid w:val="000C5009"/>
    <w:rsid w:val="000C5FBA"/>
    <w:rsid w:val="000D1140"/>
    <w:rsid w:val="000D323B"/>
    <w:rsid w:val="000D5CE5"/>
    <w:rsid w:val="000E0DA6"/>
    <w:rsid w:val="000E36BF"/>
    <w:rsid w:val="000E38A3"/>
    <w:rsid w:val="000E3A43"/>
    <w:rsid w:val="000E4CBB"/>
    <w:rsid w:val="00101991"/>
    <w:rsid w:val="00102E66"/>
    <w:rsid w:val="00103EB1"/>
    <w:rsid w:val="00107842"/>
    <w:rsid w:val="00107F6B"/>
    <w:rsid w:val="001103FE"/>
    <w:rsid w:val="0011050F"/>
    <w:rsid w:val="00112DAA"/>
    <w:rsid w:val="00113BAF"/>
    <w:rsid w:val="00113DAE"/>
    <w:rsid w:val="00114910"/>
    <w:rsid w:val="001160E9"/>
    <w:rsid w:val="001162FA"/>
    <w:rsid w:val="0011774E"/>
    <w:rsid w:val="001203EF"/>
    <w:rsid w:val="001272C0"/>
    <w:rsid w:val="00130D89"/>
    <w:rsid w:val="00137168"/>
    <w:rsid w:val="001404DB"/>
    <w:rsid w:val="0014552C"/>
    <w:rsid w:val="0014781B"/>
    <w:rsid w:val="00151AAC"/>
    <w:rsid w:val="001543B0"/>
    <w:rsid w:val="001713E3"/>
    <w:rsid w:val="0017793A"/>
    <w:rsid w:val="00180277"/>
    <w:rsid w:val="00180AD0"/>
    <w:rsid w:val="00186E33"/>
    <w:rsid w:val="00190E14"/>
    <w:rsid w:val="001938B2"/>
    <w:rsid w:val="001966F9"/>
    <w:rsid w:val="001A3E05"/>
    <w:rsid w:val="001A582E"/>
    <w:rsid w:val="001A64BF"/>
    <w:rsid w:val="001A736E"/>
    <w:rsid w:val="001B1B12"/>
    <w:rsid w:val="001B1FC5"/>
    <w:rsid w:val="001B47D7"/>
    <w:rsid w:val="001B4E9E"/>
    <w:rsid w:val="001C50A0"/>
    <w:rsid w:val="001C6EE2"/>
    <w:rsid w:val="001C7702"/>
    <w:rsid w:val="001D0659"/>
    <w:rsid w:val="001D0E0A"/>
    <w:rsid w:val="001D58F2"/>
    <w:rsid w:val="001D6490"/>
    <w:rsid w:val="001E26EF"/>
    <w:rsid w:val="001E3557"/>
    <w:rsid w:val="001E763B"/>
    <w:rsid w:val="001F0736"/>
    <w:rsid w:val="001F0982"/>
    <w:rsid w:val="001F0DD6"/>
    <w:rsid w:val="001F1C1F"/>
    <w:rsid w:val="001F1FB3"/>
    <w:rsid w:val="001F282A"/>
    <w:rsid w:val="001F542C"/>
    <w:rsid w:val="001F79EE"/>
    <w:rsid w:val="00202AFD"/>
    <w:rsid w:val="00205905"/>
    <w:rsid w:val="00205F89"/>
    <w:rsid w:val="002126E2"/>
    <w:rsid w:val="00216325"/>
    <w:rsid w:val="00216659"/>
    <w:rsid w:val="00217FAD"/>
    <w:rsid w:val="00221621"/>
    <w:rsid w:val="00222222"/>
    <w:rsid w:val="00223404"/>
    <w:rsid w:val="002264E0"/>
    <w:rsid w:val="00227B4F"/>
    <w:rsid w:val="00231B15"/>
    <w:rsid w:val="002369CA"/>
    <w:rsid w:val="00236BC5"/>
    <w:rsid w:val="00244715"/>
    <w:rsid w:val="00244A55"/>
    <w:rsid w:val="00244E13"/>
    <w:rsid w:val="00246FA7"/>
    <w:rsid w:val="002506FE"/>
    <w:rsid w:val="00251269"/>
    <w:rsid w:val="0025494A"/>
    <w:rsid w:val="002605CA"/>
    <w:rsid w:val="002610D3"/>
    <w:rsid w:val="00262B71"/>
    <w:rsid w:val="00264143"/>
    <w:rsid w:val="00265A7F"/>
    <w:rsid w:val="002679F1"/>
    <w:rsid w:val="00267AB7"/>
    <w:rsid w:val="002701A3"/>
    <w:rsid w:val="002710E2"/>
    <w:rsid w:val="002741B8"/>
    <w:rsid w:val="0027524A"/>
    <w:rsid w:val="00275740"/>
    <w:rsid w:val="00275803"/>
    <w:rsid w:val="00276755"/>
    <w:rsid w:val="00277DFC"/>
    <w:rsid w:val="00281583"/>
    <w:rsid w:val="00284D7C"/>
    <w:rsid w:val="0028644E"/>
    <w:rsid w:val="0028684A"/>
    <w:rsid w:val="00287345"/>
    <w:rsid w:val="00291A6B"/>
    <w:rsid w:val="0029341C"/>
    <w:rsid w:val="002976C6"/>
    <w:rsid w:val="002A3484"/>
    <w:rsid w:val="002A4CB3"/>
    <w:rsid w:val="002A5338"/>
    <w:rsid w:val="002B5513"/>
    <w:rsid w:val="002B77DF"/>
    <w:rsid w:val="002C25AD"/>
    <w:rsid w:val="002C31B1"/>
    <w:rsid w:val="002D0F01"/>
    <w:rsid w:val="002D24F4"/>
    <w:rsid w:val="002D6D1B"/>
    <w:rsid w:val="002D6EFC"/>
    <w:rsid w:val="002D77BA"/>
    <w:rsid w:val="002E06D3"/>
    <w:rsid w:val="002E2D08"/>
    <w:rsid w:val="002E34F8"/>
    <w:rsid w:val="002E63F8"/>
    <w:rsid w:val="002F1B61"/>
    <w:rsid w:val="002F2CB1"/>
    <w:rsid w:val="002F5230"/>
    <w:rsid w:val="002F6F5A"/>
    <w:rsid w:val="002F732E"/>
    <w:rsid w:val="003055B1"/>
    <w:rsid w:val="00306499"/>
    <w:rsid w:val="00310AE6"/>
    <w:rsid w:val="00310AE8"/>
    <w:rsid w:val="003128E7"/>
    <w:rsid w:val="00312D02"/>
    <w:rsid w:val="003165DD"/>
    <w:rsid w:val="003214BB"/>
    <w:rsid w:val="00321A1F"/>
    <w:rsid w:val="00321A24"/>
    <w:rsid w:val="00322336"/>
    <w:rsid w:val="00327542"/>
    <w:rsid w:val="00330254"/>
    <w:rsid w:val="00336BCD"/>
    <w:rsid w:val="00341A8C"/>
    <w:rsid w:val="003445FA"/>
    <w:rsid w:val="00345ACA"/>
    <w:rsid w:val="00346473"/>
    <w:rsid w:val="00347CF3"/>
    <w:rsid w:val="00350DC2"/>
    <w:rsid w:val="00350DD2"/>
    <w:rsid w:val="0035261B"/>
    <w:rsid w:val="00354753"/>
    <w:rsid w:val="0035752E"/>
    <w:rsid w:val="0037144A"/>
    <w:rsid w:val="00371F74"/>
    <w:rsid w:val="00373E41"/>
    <w:rsid w:val="00375D55"/>
    <w:rsid w:val="003821EC"/>
    <w:rsid w:val="003841EB"/>
    <w:rsid w:val="00384CE0"/>
    <w:rsid w:val="0038572D"/>
    <w:rsid w:val="00387FF3"/>
    <w:rsid w:val="003902A8"/>
    <w:rsid w:val="003958D3"/>
    <w:rsid w:val="00397580"/>
    <w:rsid w:val="003A118B"/>
    <w:rsid w:val="003A2E57"/>
    <w:rsid w:val="003A566E"/>
    <w:rsid w:val="003B161F"/>
    <w:rsid w:val="003B2283"/>
    <w:rsid w:val="003B2A2B"/>
    <w:rsid w:val="003B659C"/>
    <w:rsid w:val="003C2E0B"/>
    <w:rsid w:val="003C4280"/>
    <w:rsid w:val="003C47FE"/>
    <w:rsid w:val="003C5DF1"/>
    <w:rsid w:val="003D0E02"/>
    <w:rsid w:val="003D2B3D"/>
    <w:rsid w:val="003D7B67"/>
    <w:rsid w:val="003E07C6"/>
    <w:rsid w:val="003E15BC"/>
    <w:rsid w:val="003E1DA5"/>
    <w:rsid w:val="003E1FA3"/>
    <w:rsid w:val="003E48AD"/>
    <w:rsid w:val="003E6E85"/>
    <w:rsid w:val="003E7C34"/>
    <w:rsid w:val="003F24E9"/>
    <w:rsid w:val="00404163"/>
    <w:rsid w:val="00404720"/>
    <w:rsid w:val="0040525F"/>
    <w:rsid w:val="00405680"/>
    <w:rsid w:val="004107F2"/>
    <w:rsid w:val="00414328"/>
    <w:rsid w:val="004170D8"/>
    <w:rsid w:val="004172B2"/>
    <w:rsid w:val="004178FB"/>
    <w:rsid w:val="00420DC8"/>
    <w:rsid w:val="004236DE"/>
    <w:rsid w:val="00423A5A"/>
    <w:rsid w:val="0042407D"/>
    <w:rsid w:val="00426997"/>
    <w:rsid w:val="004274BB"/>
    <w:rsid w:val="0043275F"/>
    <w:rsid w:val="00434354"/>
    <w:rsid w:val="004366F2"/>
    <w:rsid w:val="00436B39"/>
    <w:rsid w:val="0044154A"/>
    <w:rsid w:val="00442127"/>
    <w:rsid w:val="00445FDF"/>
    <w:rsid w:val="004460BD"/>
    <w:rsid w:val="00446D2C"/>
    <w:rsid w:val="0044713A"/>
    <w:rsid w:val="00447B58"/>
    <w:rsid w:val="00451F1D"/>
    <w:rsid w:val="004528E1"/>
    <w:rsid w:val="0045592A"/>
    <w:rsid w:val="00461EC9"/>
    <w:rsid w:val="00461F2C"/>
    <w:rsid w:val="0046365E"/>
    <w:rsid w:val="00464A6C"/>
    <w:rsid w:val="00465921"/>
    <w:rsid w:val="004673D0"/>
    <w:rsid w:val="00471234"/>
    <w:rsid w:val="0047152F"/>
    <w:rsid w:val="00471AC9"/>
    <w:rsid w:val="00473697"/>
    <w:rsid w:val="0047527A"/>
    <w:rsid w:val="00484639"/>
    <w:rsid w:val="004858B9"/>
    <w:rsid w:val="004860C0"/>
    <w:rsid w:val="004871A9"/>
    <w:rsid w:val="004874A8"/>
    <w:rsid w:val="004921EE"/>
    <w:rsid w:val="00493E96"/>
    <w:rsid w:val="004A2686"/>
    <w:rsid w:val="004A2FA1"/>
    <w:rsid w:val="004A51DE"/>
    <w:rsid w:val="004A6EDF"/>
    <w:rsid w:val="004A7B3B"/>
    <w:rsid w:val="004B0891"/>
    <w:rsid w:val="004B3376"/>
    <w:rsid w:val="004B722B"/>
    <w:rsid w:val="004C1133"/>
    <w:rsid w:val="004C1A2D"/>
    <w:rsid w:val="004C2451"/>
    <w:rsid w:val="004C28FB"/>
    <w:rsid w:val="004D448C"/>
    <w:rsid w:val="004D44E5"/>
    <w:rsid w:val="004D7E85"/>
    <w:rsid w:val="004E02B0"/>
    <w:rsid w:val="004E46D7"/>
    <w:rsid w:val="004E4DEE"/>
    <w:rsid w:val="004E7245"/>
    <w:rsid w:val="004F0E5A"/>
    <w:rsid w:val="004F56A0"/>
    <w:rsid w:val="004F6A50"/>
    <w:rsid w:val="00502607"/>
    <w:rsid w:val="00502AD2"/>
    <w:rsid w:val="00506AD3"/>
    <w:rsid w:val="005117F4"/>
    <w:rsid w:val="005118CE"/>
    <w:rsid w:val="0051300A"/>
    <w:rsid w:val="00515E7A"/>
    <w:rsid w:val="00516B0E"/>
    <w:rsid w:val="00517F5E"/>
    <w:rsid w:val="00521431"/>
    <w:rsid w:val="0052378C"/>
    <w:rsid w:val="005276D5"/>
    <w:rsid w:val="00532BF0"/>
    <w:rsid w:val="005357E3"/>
    <w:rsid w:val="00535B6D"/>
    <w:rsid w:val="0054398E"/>
    <w:rsid w:val="005500EF"/>
    <w:rsid w:val="0055051B"/>
    <w:rsid w:val="00557B01"/>
    <w:rsid w:val="00562556"/>
    <w:rsid w:val="00563C09"/>
    <w:rsid w:val="005701A6"/>
    <w:rsid w:val="0057300A"/>
    <w:rsid w:val="00574348"/>
    <w:rsid w:val="00575204"/>
    <w:rsid w:val="00575DC5"/>
    <w:rsid w:val="005774C5"/>
    <w:rsid w:val="005803E9"/>
    <w:rsid w:val="00580418"/>
    <w:rsid w:val="00587916"/>
    <w:rsid w:val="0059371B"/>
    <w:rsid w:val="00593B7A"/>
    <w:rsid w:val="00593F73"/>
    <w:rsid w:val="00595144"/>
    <w:rsid w:val="005A6BD8"/>
    <w:rsid w:val="005B17CF"/>
    <w:rsid w:val="005B5AB5"/>
    <w:rsid w:val="005B7A4B"/>
    <w:rsid w:val="005C0847"/>
    <w:rsid w:val="005C0AC3"/>
    <w:rsid w:val="005C2EB5"/>
    <w:rsid w:val="005D235C"/>
    <w:rsid w:val="005D23C8"/>
    <w:rsid w:val="005D27DB"/>
    <w:rsid w:val="005D4744"/>
    <w:rsid w:val="005D7CBA"/>
    <w:rsid w:val="005E6E7B"/>
    <w:rsid w:val="005F0172"/>
    <w:rsid w:val="005F0789"/>
    <w:rsid w:val="005F0D09"/>
    <w:rsid w:val="005F1B67"/>
    <w:rsid w:val="00600087"/>
    <w:rsid w:val="0061081D"/>
    <w:rsid w:val="00611D8E"/>
    <w:rsid w:val="00614B0D"/>
    <w:rsid w:val="00617477"/>
    <w:rsid w:val="00620227"/>
    <w:rsid w:val="0062285C"/>
    <w:rsid w:val="00626BE7"/>
    <w:rsid w:val="00635146"/>
    <w:rsid w:val="00636E4C"/>
    <w:rsid w:val="00642529"/>
    <w:rsid w:val="006502C9"/>
    <w:rsid w:val="006523D1"/>
    <w:rsid w:val="0065366E"/>
    <w:rsid w:val="0065709E"/>
    <w:rsid w:val="00660D97"/>
    <w:rsid w:val="006629F3"/>
    <w:rsid w:val="00662F25"/>
    <w:rsid w:val="00663B0C"/>
    <w:rsid w:val="00663FCB"/>
    <w:rsid w:val="00664AF4"/>
    <w:rsid w:val="00664D97"/>
    <w:rsid w:val="00664E36"/>
    <w:rsid w:val="00665AA4"/>
    <w:rsid w:val="00670F96"/>
    <w:rsid w:val="00672D89"/>
    <w:rsid w:val="00674381"/>
    <w:rsid w:val="00674D1D"/>
    <w:rsid w:val="006818D5"/>
    <w:rsid w:val="00682078"/>
    <w:rsid w:val="006828B9"/>
    <w:rsid w:val="006831D5"/>
    <w:rsid w:val="00686DF6"/>
    <w:rsid w:val="00695F29"/>
    <w:rsid w:val="00697909"/>
    <w:rsid w:val="006A04FA"/>
    <w:rsid w:val="006A0C5B"/>
    <w:rsid w:val="006A1B7C"/>
    <w:rsid w:val="006A2CE8"/>
    <w:rsid w:val="006A493E"/>
    <w:rsid w:val="006A5C41"/>
    <w:rsid w:val="006A7C32"/>
    <w:rsid w:val="006B2BAE"/>
    <w:rsid w:val="006B422B"/>
    <w:rsid w:val="006B551B"/>
    <w:rsid w:val="006B5E13"/>
    <w:rsid w:val="006C03E0"/>
    <w:rsid w:val="006C1EC9"/>
    <w:rsid w:val="006C3C0E"/>
    <w:rsid w:val="006C4C60"/>
    <w:rsid w:val="006C655F"/>
    <w:rsid w:val="006C7910"/>
    <w:rsid w:val="006D0F5A"/>
    <w:rsid w:val="006D26EF"/>
    <w:rsid w:val="006D3936"/>
    <w:rsid w:val="006E257C"/>
    <w:rsid w:val="006E6CE2"/>
    <w:rsid w:val="006F108B"/>
    <w:rsid w:val="006F168E"/>
    <w:rsid w:val="006F4EA8"/>
    <w:rsid w:val="00704F5E"/>
    <w:rsid w:val="00706303"/>
    <w:rsid w:val="00710EF8"/>
    <w:rsid w:val="0071143E"/>
    <w:rsid w:val="00712323"/>
    <w:rsid w:val="007124AC"/>
    <w:rsid w:val="00714373"/>
    <w:rsid w:val="00716900"/>
    <w:rsid w:val="00721BD3"/>
    <w:rsid w:val="00723A71"/>
    <w:rsid w:val="00731DA8"/>
    <w:rsid w:val="007339B9"/>
    <w:rsid w:val="0073548F"/>
    <w:rsid w:val="00744D7E"/>
    <w:rsid w:val="007504CD"/>
    <w:rsid w:val="0075169B"/>
    <w:rsid w:val="0075300C"/>
    <w:rsid w:val="00755E9F"/>
    <w:rsid w:val="007569B8"/>
    <w:rsid w:val="00756F35"/>
    <w:rsid w:val="0076184F"/>
    <w:rsid w:val="00762FCC"/>
    <w:rsid w:val="00763990"/>
    <w:rsid w:val="00765301"/>
    <w:rsid w:val="007658B8"/>
    <w:rsid w:val="0076778E"/>
    <w:rsid w:val="00771D35"/>
    <w:rsid w:val="00772713"/>
    <w:rsid w:val="007753D0"/>
    <w:rsid w:val="007753D4"/>
    <w:rsid w:val="00776819"/>
    <w:rsid w:val="007802BE"/>
    <w:rsid w:val="00780F5B"/>
    <w:rsid w:val="0078457E"/>
    <w:rsid w:val="00792EF6"/>
    <w:rsid w:val="00794FB7"/>
    <w:rsid w:val="00796548"/>
    <w:rsid w:val="00797788"/>
    <w:rsid w:val="007A07B3"/>
    <w:rsid w:val="007A171D"/>
    <w:rsid w:val="007A33F8"/>
    <w:rsid w:val="007A4AD3"/>
    <w:rsid w:val="007A4F9E"/>
    <w:rsid w:val="007A55AD"/>
    <w:rsid w:val="007A5774"/>
    <w:rsid w:val="007A6576"/>
    <w:rsid w:val="007A7059"/>
    <w:rsid w:val="007A7404"/>
    <w:rsid w:val="007B1E85"/>
    <w:rsid w:val="007B2DE0"/>
    <w:rsid w:val="007B375E"/>
    <w:rsid w:val="007B638D"/>
    <w:rsid w:val="007B7D8D"/>
    <w:rsid w:val="007C0740"/>
    <w:rsid w:val="007C3538"/>
    <w:rsid w:val="007C4940"/>
    <w:rsid w:val="007D0D40"/>
    <w:rsid w:val="007D127E"/>
    <w:rsid w:val="007D15D8"/>
    <w:rsid w:val="007D209F"/>
    <w:rsid w:val="007D2133"/>
    <w:rsid w:val="007D2BFA"/>
    <w:rsid w:val="007D5770"/>
    <w:rsid w:val="007D69F7"/>
    <w:rsid w:val="007E4719"/>
    <w:rsid w:val="007F0BCB"/>
    <w:rsid w:val="007F6028"/>
    <w:rsid w:val="007F62F4"/>
    <w:rsid w:val="007F6D71"/>
    <w:rsid w:val="00801546"/>
    <w:rsid w:val="00803D2F"/>
    <w:rsid w:val="00804221"/>
    <w:rsid w:val="00804E4F"/>
    <w:rsid w:val="008057C3"/>
    <w:rsid w:val="008105D6"/>
    <w:rsid w:val="008115CC"/>
    <w:rsid w:val="0081398F"/>
    <w:rsid w:val="00815B43"/>
    <w:rsid w:val="008214FD"/>
    <w:rsid w:val="0082384B"/>
    <w:rsid w:val="00827A38"/>
    <w:rsid w:val="00830B1B"/>
    <w:rsid w:val="00833FF6"/>
    <w:rsid w:val="00834C47"/>
    <w:rsid w:val="0083552C"/>
    <w:rsid w:val="00847300"/>
    <w:rsid w:val="00852BF3"/>
    <w:rsid w:val="00853722"/>
    <w:rsid w:val="008556DB"/>
    <w:rsid w:val="008577E0"/>
    <w:rsid w:val="00865DE6"/>
    <w:rsid w:val="008672C8"/>
    <w:rsid w:val="00870272"/>
    <w:rsid w:val="0087274E"/>
    <w:rsid w:val="00875437"/>
    <w:rsid w:val="00877EAB"/>
    <w:rsid w:val="00880C91"/>
    <w:rsid w:val="008814FE"/>
    <w:rsid w:val="00883C2D"/>
    <w:rsid w:val="0088493F"/>
    <w:rsid w:val="00895A5C"/>
    <w:rsid w:val="008A2985"/>
    <w:rsid w:val="008A3FA8"/>
    <w:rsid w:val="008A61BF"/>
    <w:rsid w:val="008B21E1"/>
    <w:rsid w:val="008B41FE"/>
    <w:rsid w:val="008B49B0"/>
    <w:rsid w:val="008B5119"/>
    <w:rsid w:val="008B5858"/>
    <w:rsid w:val="008B747B"/>
    <w:rsid w:val="008C2F53"/>
    <w:rsid w:val="008C3070"/>
    <w:rsid w:val="008C31F3"/>
    <w:rsid w:val="008C6D1A"/>
    <w:rsid w:val="008D254D"/>
    <w:rsid w:val="008D3D50"/>
    <w:rsid w:val="008D49CC"/>
    <w:rsid w:val="008E2EA0"/>
    <w:rsid w:val="008E4CDC"/>
    <w:rsid w:val="008E6380"/>
    <w:rsid w:val="008E746A"/>
    <w:rsid w:val="008E7567"/>
    <w:rsid w:val="008F5318"/>
    <w:rsid w:val="008F6C53"/>
    <w:rsid w:val="008F6FD7"/>
    <w:rsid w:val="008F6FE2"/>
    <w:rsid w:val="008F71CD"/>
    <w:rsid w:val="00900310"/>
    <w:rsid w:val="0090094C"/>
    <w:rsid w:val="00901286"/>
    <w:rsid w:val="009034C7"/>
    <w:rsid w:val="009036C9"/>
    <w:rsid w:val="00904825"/>
    <w:rsid w:val="0090492E"/>
    <w:rsid w:val="00905D51"/>
    <w:rsid w:val="00907E9E"/>
    <w:rsid w:val="0091394C"/>
    <w:rsid w:val="00915B0D"/>
    <w:rsid w:val="00916F2F"/>
    <w:rsid w:val="00920F6B"/>
    <w:rsid w:val="009214A9"/>
    <w:rsid w:val="009238A1"/>
    <w:rsid w:val="00932062"/>
    <w:rsid w:val="00932B45"/>
    <w:rsid w:val="00932ED8"/>
    <w:rsid w:val="00933B1A"/>
    <w:rsid w:val="00934170"/>
    <w:rsid w:val="009401BC"/>
    <w:rsid w:val="009403E7"/>
    <w:rsid w:val="0094248A"/>
    <w:rsid w:val="00942AC9"/>
    <w:rsid w:val="00942B93"/>
    <w:rsid w:val="00945026"/>
    <w:rsid w:val="0094632A"/>
    <w:rsid w:val="0095174B"/>
    <w:rsid w:val="0095406E"/>
    <w:rsid w:val="0095468F"/>
    <w:rsid w:val="00956E56"/>
    <w:rsid w:val="00962279"/>
    <w:rsid w:val="00965CB6"/>
    <w:rsid w:val="009705FE"/>
    <w:rsid w:val="00972790"/>
    <w:rsid w:val="00972D69"/>
    <w:rsid w:val="00974C0A"/>
    <w:rsid w:val="00975A06"/>
    <w:rsid w:val="00975C27"/>
    <w:rsid w:val="00975E62"/>
    <w:rsid w:val="009774F7"/>
    <w:rsid w:val="00980F4A"/>
    <w:rsid w:val="0098258B"/>
    <w:rsid w:val="00987379"/>
    <w:rsid w:val="009876B0"/>
    <w:rsid w:val="00994C9C"/>
    <w:rsid w:val="009977FD"/>
    <w:rsid w:val="009A02E6"/>
    <w:rsid w:val="009A2234"/>
    <w:rsid w:val="009A6EFA"/>
    <w:rsid w:val="009A7E53"/>
    <w:rsid w:val="009B2D74"/>
    <w:rsid w:val="009C6426"/>
    <w:rsid w:val="009D3A0B"/>
    <w:rsid w:val="009D4EF9"/>
    <w:rsid w:val="009E1FC7"/>
    <w:rsid w:val="009E619A"/>
    <w:rsid w:val="009F5EE1"/>
    <w:rsid w:val="009F7D5D"/>
    <w:rsid w:val="00A0308B"/>
    <w:rsid w:val="00A0672A"/>
    <w:rsid w:val="00A06A25"/>
    <w:rsid w:val="00A07067"/>
    <w:rsid w:val="00A13282"/>
    <w:rsid w:val="00A13C5A"/>
    <w:rsid w:val="00A14B2A"/>
    <w:rsid w:val="00A23F2A"/>
    <w:rsid w:val="00A30B73"/>
    <w:rsid w:val="00A32B6E"/>
    <w:rsid w:val="00A3412D"/>
    <w:rsid w:val="00A34F7A"/>
    <w:rsid w:val="00A35288"/>
    <w:rsid w:val="00A3528D"/>
    <w:rsid w:val="00A40467"/>
    <w:rsid w:val="00A419C2"/>
    <w:rsid w:val="00A441AC"/>
    <w:rsid w:val="00A50F0F"/>
    <w:rsid w:val="00A51D46"/>
    <w:rsid w:val="00A51FC3"/>
    <w:rsid w:val="00A530AA"/>
    <w:rsid w:val="00A61E32"/>
    <w:rsid w:val="00A62A36"/>
    <w:rsid w:val="00A64175"/>
    <w:rsid w:val="00A6473A"/>
    <w:rsid w:val="00A65B91"/>
    <w:rsid w:val="00A705AA"/>
    <w:rsid w:val="00A729DF"/>
    <w:rsid w:val="00A751A1"/>
    <w:rsid w:val="00A77C26"/>
    <w:rsid w:val="00A82C95"/>
    <w:rsid w:val="00A84C7E"/>
    <w:rsid w:val="00A94FB1"/>
    <w:rsid w:val="00A96E32"/>
    <w:rsid w:val="00A97DFD"/>
    <w:rsid w:val="00AA3DA2"/>
    <w:rsid w:val="00AA4C52"/>
    <w:rsid w:val="00AA7CD8"/>
    <w:rsid w:val="00AA7D4A"/>
    <w:rsid w:val="00AB0A52"/>
    <w:rsid w:val="00AB5931"/>
    <w:rsid w:val="00AC4DC9"/>
    <w:rsid w:val="00AC712E"/>
    <w:rsid w:val="00AC7AB5"/>
    <w:rsid w:val="00AD11C2"/>
    <w:rsid w:val="00AD32F7"/>
    <w:rsid w:val="00AD3793"/>
    <w:rsid w:val="00AD4B8D"/>
    <w:rsid w:val="00AD526F"/>
    <w:rsid w:val="00AD5AA6"/>
    <w:rsid w:val="00AE15AC"/>
    <w:rsid w:val="00AE1DF1"/>
    <w:rsid w:val="00AE22D8"/>
    <w:rsid w:val="00AE2722"/>
    <w:rsid w:val="00AE68F3"/>
    <w:rsid w:val="00AF0633"/>
    <w:rsid w:val="00AF0970"/>
    <w:rsid w:val="00AF2B2E"/>
    <w:rsid w:val="00AF2F7B"/>
    <w:rsid w:val="00B0084D"/>
    <w:rsid w:val="00B01E0D"/>
    <w:rsid w:val="00B03555"/>
    <w:rsid w:val="00B11187"/>
    <w:rsid w:val="00B113CB"/>
    <w:rsid w:val="00B13691"/>
    <w:rsid w:val="00B17840"/>
    <w:rsid w:val="00B226EB"/>
    <w:rsid w:val="00B24927"/>
    <w:rsid w:val="00B307D3"/>
    <w:rsid w:val="00B315E0"/>
    <w:rsid w:val="00B33394"/>
    <w:rsid w:val="00B334DD"/>
    <w:rsid w:val="00B34A3D"/>
    <w:rsid w:val="00B359B4"/>
    <w:rsid w:val="00B37210"/>
    <w:rsid w:val="00B400E7"/>
    <w:rsid w:val="00B40EE3"/>
    <w:rsid w:val="00B46434"/>
    <w:rsid w:val="00B46A91"/>
    <w:rsid w:val="00B510F6"/>
    <w:rsid w:val="00B51B0A"/>
    <w:rsid w:val="00B531A7"/>
    <w:rsid w:val="00B56BEA"/>
    <w:rsid w:val="00B610F2"/>
    <w:rsid w:val="00B61333"/>
    <w:rsid w:val="00B626D3"/>
    <w:rsid w:val="00B629EF"/>
    <w:rsid w:val="00B70366"/>
    <w:rsid w:val="00B70F97"/>
    <w:rsid w:val="00B72718"/>
    <w:rsid w:val="00B74017"/>
    <w:rsid w:val="00B7412B"/>
    <w:rsid w:val="00B763BB"/>
    <w:rsid w:val="00B769F1"/>
    <w:rsid w:val="00B80203"/>
    <w:rsid w:val="00B82BE2"/>
    <w:rsid w:val="00B82DD6"/>
    <w:rsid w:val="00B837E9"/>
    <w:rsid w:val="00B83F4B"/>
    <w:rsid w:val="00B87BFD"/>
    <w:rsid w:val="00B94FD1"/>
    <w:rsid w:val="00BA1889"/>
    <w:rsid w:val="00BA39EB"/>
    <w:rsid w:val="00BB1CF7"/>
    <w:rsid w:val="00BB486F"/>
    <w:rsid w:val="00BB5935"/>
    <w:rsid w:val="00BB751D"/>
    <w:rsid w:val="00BB79A6"/>
    <w:rsid w:val="00BB7DCF"/>
    <w:rsid w:val="00BC1390"/>
    <w:rsid w:val="00BC2D4D"/>
    <w:rsid w:val="00BC46DE"/>
    <w:rsid w:val="00BD4E64"/>
    <w:rsid w:val="00BE2B9D"/>
    <w:rsid w:val="00BE6F0F"/>
    <w:rsid w:val="00BE738C"/>
    <w:rsid w:val="00BF03EE"/>
    <w:rsid w:val="00BF17B4"/>
    <w:rsid w:val="00BF22D5"/>
    <w:rsid w:val="00BF4158"/>
    <w:rsid w:val="00BF46ED"/>
    <w:rsid w:val="00BF4975"/>
    <w:rsid w:val="00C019DF"/>
    <w:rsid w:val="00C070AC"/>
    <w:rsid w:val="00C07470"/>
    <w:rsid w:val="00C1450E"/>
    <w:rsid w:val="00C15537"/>
    <w:rsid w:val="00C17C2E"/>
    <w:rsid w:val="00C17FA7"/>
    <w:rsid w:val="00C17FFA"/>
    <w:rsid w:val="00C23718"/>
    <w:rsid w:val="00C237B5"/>
    <w:rsid w:val="00C25ADE"/>
    <w:rsid w:val="00C260F3"/>
    <w:rsid w:val="00C26BEB"/>
    <w:rsid w:val="00C30664"/>
    <w:rsid w:val="00C32978"/>
    <w:rsid w:val="00C36566"/>
    <w:rsid w:val="00C37F61"/>
    <w:rsid w:val="00C4178C"/>
    <w:rsid w:val="00C43196"/>
    <w:rsid w:val="00C43406"/>
    <w:rsid w:val="00C46CDC"/>
    <w:rsid w:val="00C576AC"/>
    <w:rsid w:val="00C60459"/>
    <w:rsid w:val="00C6230C"/>
    <w:rsid w:val="00C63A06"/>
    <w:rsid w:val="00C72F96"/>
    <w:rsid w:val="00C75D9D"/>
    <w:rsid w:val="00C86EDB"/>
    <w:rsid w:val="00C90FA7"/>
    <w:rsid w:val="00C957C3"/>
    <w:rsid w:val="00C9796E"/>
    <w:rsid w:val="00CA04CE"/>
    <w:rsid w:val="00CA0B3A"/>
    <w:rsid w:val="00CA316B"/>
    <w:rsid w:val="00CA365A"/>
    <w:rsid w:val="00CA3FBB"/>
    <w:rsid w:val="00CA4DB3"/>
    <w:rsid w:val="00CA60B2"/>
    <w:rsid w:val="00CB0702"/>
    <w:rsid w:val="00CB0A26"/>
    <w:rsid w:val="00CB1615"/>
    <w:rsid w:val="00CB1CA5"/>
    <w:rsid w:val="00CB6A39"/>
    <w:rsid w:val="00CB7828"/>
    <w:rsid w:val="00CC2A0F"/>
    <w:rsid w:val="00CC3D2A"/>
    <w:rsid w:val="00CC77E8"/>
    <w:rsid w:val="00CD0FE1"/>
    <w:rsid w:val="00CD29C5"/>
    <w:rsid w:val="00CD2A25"/>
    <w:rsid w:val="00CD4B80"/>
    <w:rsid w:val="00CE171C"/>
    <w:rsid w:val="00CE6E44"/>
    <w:rsid w:val="00D001BE"/>
    <w:rsid w:val="00D00DA3"/>
    <w:rsid w:val="00D021B6"/>
    <w:rsid w:val="00D05F41"/>
    <w:rsid w:val="00D06675"/>
    <w:rsid w:val="00D06FB1"/>
    <w:rsid w:val="00D07571"/>
    <w:rsid w:val="00D10510"/>
    <w:rsid w:val="00D146A5"/>
    <w:rsid w:val="00D15163"/>
    <w:rsid w:val="00D154D3"/>
    <w:rsid w:val="00D17572"/>
    <w:rsid w:val="00D17E35"/>
    <w:rsid w:val="00D203E4"/>
    <w:rsid w:val="00D2355F"/>
    <w:rsid w:val="00D23995"/>
    <w:rsid w:val="00D251F6"/>
    <w:rsid w:val="00D25420"/>
    <w:rsid w:val="00D32A9F"/>
    <w:rsid w:val="00D330F2"/>
    <w:rsid w:val="00D349C8"/>
    <w:rsid w:val="00D36B68"/>
    <w:rsid w:val="00D41443"/>
    <w:rsid w:val="00D41578"/>
    <w:rsid w:val="00D606F3"/>
    <w:rsid w:val="00D63EF4"/>
    <w:rsid w:val="00D71B23"/>
    <w:rsid w:val="00D7659C"/>
    <w:rsid w:val="00D77975"/>
    <w:rsid w:val="00D84F43"/>
    <w:rsid w:val="00D86984"/>
    <w:rsid w:val="00D87616"/>
    <w:rsid w:val="00D932EE"/>
    <w:rsid w:val="00D96A6A"/>
    <w:rsid w:val="00DA0963"/>
    <w:rsid w:val="00DA65C1"/>
    <w:rsid w:val="00DA7578"/>
    <w:rsid w:val="00DB5C96"/>
    <w:rsid w:val="00DB692F"/>
    <w:rsid w:val="00DC27EB"/>
    <w:rsid w:val="00DC4711"/>
    <w:rsid w:val="00DC621F"/>
    <w:rsid w:val="00DC79CF"/>
    <w:rsid w:val="00DC7F6B"/>
    <w:rsid w:val="00DD056B"/>
    <w:rsid w:val="00DD20FF"/>
    <w:rsid w:val="00DD33E7"/>
    <w:rsid w:val="00DD35D9"/>
    <w:rsid w:val="00DD39CE"/>
    <w:rsid w:val="00DD4ED9"/>
    <w:rsid w:val="00DE2610"/>
    <w:rsid w:val="00DE31AC"/>
    <w:rsid w:val="00DE5A78"/>
    <w:rsid w:val="00DE5F70"/>
    <w:rsid w:val="00DF0D89"/>
    <w:rsid w:val="00DF18BE"/>
    <w:rsid w:val="00DF297A"/>
    <w:rsid w:val="00DF6BEF"/>
    <w:rsid w:val="00E0111A"/>
    <w:rsid w:val="00E0111B"/>
    <w:rsid w:val="00E025E2"/>
    <w:rsid w:val="00E0287A"/>
    <w:rsid w:val="00E03C2E"/>
    <w:rsid w:val="00E05594"/>
    <w:rsid w:val="00E059F8"/>
    <w:rsid w:val="00E05FD2"/>
    <w:rsid w:val="00E0650E"/>
    <w:rsid w:val="00E067D3"/>
    <w:rsid w:val="00E07C18"/>
    <w:rsid w:val="00E15B96"/>
    <w:rsid w:val="00E16B5A"/>
    <w:rsid w:val="00E2344F"/>
    <w:rsid w:val="00E2363B"/>
    <w:rsid w:val="00E23A08"/>
    <w:rsid w:val="00E25385"/>
    <w:rsid w:val="00E25B17"/>
    <w:rsid w:val="00E27EF6"/>
    <w:rsid w:val="00E30CF0"/>
    <w:rsid w:val="00E3356A"/>
    <w:rsid w:val="00E364E2"/>
    <w:rsid w:val="00E37105"/>
    <w:rsid w:val="00E50EE3"/>
    <w:rsid w:val="00E552AD"/>
    <w:rsid w:val="00E55A2B"/>
    <w:rsid w:val="00E56649"/>
    <w:rsid w:val="00E62C7F"/>
    <w:rsid w:val="00E6328A"/>
    <w:rsid w:val="00E65CFB"/>
    <w:rsid w:val="00E661DA"/>
    <w:rsid w:val="00E7051A"/>
    <w:rsid w:val="00E72497"/>
    <w:rsid w:val="00E72C98"/>
    <w:rsid w:val="00E74BE4"/>
    <w:rsid w:val="00E83183"/>
    <w:rsid w:val="00E835DD"/>
    <w:rsid w:val="00E841A8"/>
    <w:rsid w:val="00E868C3"/>
    <w:rsid w:val="00E91675"/>
    <w:rsid w:val="00E91E0E"/>
    <w:rsid w:val="00E92C9B"/>
    <w:rsid w:val="00E93699"/>
    <w:rsid w:val="00E95DD2"/>
    <w:rsid w:val="00E9726A"/>
    <w:rsid w:val="00EA3429"/>
    <w:rsid w:val="00EA34F8"/>
    <w:rsid w:val="00EA3E83"/>
    <w:rsid w:val="00EA43D8"/>
    <w:rsid w:val="00EA4FB5"/>
    <w:rsid w:val="00EA5EAC"/>
    <w:rsid w:val="00EA6F24"/>
    <w:rsid w:val="00EB0ADE"/>
    <w:rsid w:val="00EB5E91"/>
    <w:rsid w:val="00EC1767"/>
    <w:rsid w:val="00EC49B2"/>
    <w:rsid w:val="00EC769E"/>
    <w:rsid w:val="00ED128F"/>
    <w:rsid w:val="00ED35A3"/>
    <w:rsid w:val="00ED5B11"/>
    <w:rsid w:val="00ED78F9"/>
    <w:rsid w:val="00EE1BDE"/>
    <w:rsid w:val="00EE39EC"/>
    <w:rsid w:val="00EF283A"/>
    <w:rsid w:val="00F0551F"/>
    <w:rsid w:val="00F060A0"/>
    <w:rsid w:val="00F07760"/>
    <w:rsid w:val="00F10615"/>
    <w:rsid w:val="00F1340E"/>
    <w:rsid w:val="00F155EA"/>
    <w:rsid w:val="00F17924"/>
    <w:rsid w:val="00F23896"/>
    <w:rsid w:val="00F254F6"/>
    <w:rsid w:val="00F25A3B"/>
    <w:rsid w:val="00F3252D"/>
    <w:rsid w:val="00F34956"/>
    <w:rsid w:val="00F34AC6"/>
    <w:rsid w:val="00F422B3"/>
    <w:rsid w:val="00F42D3F"/>
    <w:rsid w:val="00F448B9"/>
    <w:rsid w:val="00F453DF"/>
    <w:rsid w:val="00F56EC7"/>
    <w:rsid w:val="00F60892"/>
    <w:rsid w:val="00F622C9"/>
    <w:rsid w:val="00F627AA"/>
    <w:rsid w:val="00F63369"/>
    <w:rsid w:val="00F65B54"/>
    <w:rsid w:val="00F673F1"/>
    <w:rsid w:val="00F75B9B"/>
    <w:rsid w:val="00F7703B"/>
    <w:rsid w:val="00F820A6"/>
    <w:rsid w:val="00F83B72"/>
    <w:rsid w:val="00F85DBF"/>
    <w:rsid w:val="00F863F9"/>
    <w:rsid w:val="00F86D38"/>
    <w:rsid w:val="00F934C4"/>
    <w:rsid w:val="00F951FE"/>
    <w:rsid w:val="00F961F9"/>
    <w:rsid w:val="00FA7DDD"/>
    <w:rsid w:val="00FB0AD1"/>
    <w:rsid w:val="00FB1C96"/>
    <w:rsid w:val="00FB4AFD"/>
    <w:rsid w:val="00FC0136"/>
    <w:rsid w:val="00FC2A71"/>
    <w:rsid w:val="00FC54A9"/>
    <w:rsid w:val="00FD1AB5"/>
    <w:rsid w:val="00FD57C6"/>
    <w:rsid w:val="00FD68BF"/>
    <w:rsid w:val="00FE0CA2"/>
    <w:rsid w:val="00FE106F"/>
    <w:rsid w:val="00FE22B2"/>
    <w:rsid w:val="00FE6BA9"/>
    <w:rsid w:val="00FE756A"/>
    <w:rsid w:val="00FF0B79"/>
    <w:rsid w:val="00FF3ED7"/>
    <w:rsid w:val="0CE122A9"/>
    <w:rsid w:val="15435E7F"/>
    <w:rsid w:val="24C55A37"/>
    <w:rsid w:val="2B4D29F1"/>
    <w:rsid w:val="37683B39"/>
    <w:rsid w:val="3AB46190"/>
    <w:rsid w:val="3E4D03E1"/>
    <w:rsid w:val="42A33FA5"/>
    <w:rsid w:val="49C3325A"/>
    <w:rsid w:val="52452D02"/>
    <w:rsid w:val="67A63985"/>
    <w:rsid w:val="6EC532A7"/>
    <w:rsid w:val="72C87295"/>
    <w:rsid w:val="7BA42C61"/>
    <w:rsid w:val="7E41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20"/>
    <w:semiHidden/>
    <w:unhideWhenUsed/>
    <w:qFormat/>
    <w:uiPriority w:val="0"/>
    <w:rPr>
      <w:rFonts w:ascii="宋体" w:hAnsi="Courier New" w:eastAsia="宋体" w:cs="Courier New"/>
      <w:szCs w:val="21"/>
    </w:rPr>
  </w:style>
  <w:style w:type="paragraph" w:styleId="4">
    <w:name w:val="Balloon Text"/>
    <w:basedOn w:val="1"/>
    <w:link w:val="21"/>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323232"/>
      <w:sz w:val="12"/>
      <w:szCs w:val="12"/>
      <w:u w:val="none"/>
    </w:rPr>
  </w:style>
  <w:style w:type="character" w:styleId="11">
    <w:name w:val="Hyperlink"/>
    <w:basedOn w:val="8"/>
    <w:unhideWhenUsed/>
    <w:qFormat/>
    <w:uiPriority w:val="99"/>
    <w:rPr>
      <w:color w:val="0000FF"/>
      <w:u w:val="single"/>
    </w:r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标题 1 Char"/>
    <w:basedOn w:val="8"/>
    <w:link w:val="2"/>
    <w:qFormat/>
    <w:uiPriority w:val="9"/>
    <w:rPr>
      <w:rFonts w:ascii="宋体" w:hAnsi="宋体" w:eastAsia="宋体" w:cs="宋体"/>
      <w:b/>
      <w:bCs/>
      <w:kern w:val="36"/>
      <w:sz w:val="48"/>
      <w:szCs w:val="48"/>
    </w:rPr>
  </w:style>
  <w:style w:type="paragraph" w:customStyle="1" w:styleId="16">
    <w:name w:val="orig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apple-converted-space"/>
    <w:basedOn w:val="8"/>
    <w:qFormat/>
    <w:uiPriority w:val="0"/>
  </w:style>
  <w:style w:type="character" w:customStyle="1" w:styleId="18">
    <w:name w:val="linkred02"/>
    <w:basedOn w:val="8"/>
    <w:qFormat/>
    <w:uiPriority w:val="0"/>
  </w:style>
  <w:style w:type="paragraph" w:customStyle="1" w:styleId="19">
    <w:name w:val="summra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纯文本 Char"/>
    <w:basedOn w:val="8"/>
    <w:link w:val="3"/>
    <w:semiHidden/>
    <w:qFormat/>
    <w:uiPriority w:val="0"/>
    <w:rPr>
      <w:rFonts w:ascii="宋体" w:hAnsi="Courier New" w:eastAsia="宋体" w:cs="Courier New"/>
      <w:szCs w:val="21"/>
    </w:rPr>
  </w:style>
  <w:style w:type="character" w:customStyle="1" w:styleId="21">
    <w:name w:val="批注框文本 Char"/>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780BA-3351-4795-BEFB-CC06B9870A1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721</Words>
  <Characters>4111</Characters>
  <Lines>34</Lines>
  <Paragraphs>9</Paragraphs>
  <TotalTime>26</TotalTime>
  <ScaleCrop>false</ScaleCrop>
  <LinksUpToDate>false</LinksUpToDate>
  <CharactersWithSpaces>4823</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2018-10-29T02:34:00Z</dcterms:created>
  <dc:creator>微软用户</dc:creator>
  <cp:lastModifiedBy>Administrator</cp:lastModifiedBy>
  <cp:lastPrinted>2018-08-17T03:20:00Z</cp:lastPrinted>
  <dcterms:modified xsi:type="dcterms:W3CDTF">2018-11-27T06:27:38Z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