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type="tile"/>
    </v:background>
  </w:background>
  <w:body>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各县（市、区）人民政府</w:t>
      </w:r>
      <w:r>
        <w:rPr>
          <w:rFonts w:ascii="仿宋_GB2312" w:eastAsia="仿宋_GB2312" w:hint="eastAsia"/>
          <w:color w:val="535353"/>
          <w:sz w:val="25"/>
          <w:szCs w:val="25"/>
        </w:rPr>
        <w:t>,</w:t>
      </w:r>
      <w:r>
        <w:rPr>
          <w:rFonts w:ascii="仿宋_GB2312" w:eastAsia="仿宋_GB2312" w:hint="eastAsia"/>
          <w:color w:val="535353"/>
          <w:sz w:val="25"/>
          <w:szCs w:val="25"/>
        </w:rPr>
        <w:t>市政府各部门、各直属机构：</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经市政府同意，现将《汕尾市专利促进工作实施办法》印发给你们，请认真贯彻执行。执行过程中遇到的问题，请径向市科技局反映。</w:t>
      </w:r>
      <w:r>
        <w:rPr>
          <w:rFonts w:ascii="仿宋_GB2312" w:eastAsia="仿宋_GB2312" w:hint="eastAsia"/>
          <w:color w:val="535353"/>
          <w:sz w:val="25"/>
          <w:szCs w:val="25"/>
        </w:rPr>
        <w:t> </w:t>
      </w:r>
    </w:p>
    <w:p w:rsidR="00000000" w:rsidRDefault="00095928" w:rsidP="00095928">
      <w:pPr>
        <w:pStyle w:val="a6"/>
        <w:shd w:val="clear" w:color="auto" w:fill="FFFFFF"/>
        <w:spacing w:line="480" w:lineRule="atLeast"/>
        <w:jc w:val="center"/>
        <w:divId w:val="1874607137"/>
        <w:rPr>
          <w:color w:val="535353"/>
          <w:sz w:val="18"/>
          <w:szCs w:val="18"/>
        </w:rPr>
      </w:pPr>
      <w:r>
        <w:rPr>
          <w:color w:val="535353"/>
          <w:sz w:val="18"/>
          <w:szCs w:val="18"/>
        </w:rPr>
        <w:br w:type="textWrapping" w:clear="all"/>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汕尾市人民政府办公室</w:t>
      </w:r>
    </w:p>
    <w:p w:rsidR="00000000" w:rsidRDefault="00095928">
      <w:pPr>
        <w:pStyle w:val="a6"/>
        <w:shd w:val="clear" w:color="auto" w:fill="FFFFFF"/>
        <w:spacing w:line="480" w:lineRule="atLeast"/>
        <w:jc w:val="center"/>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 xml:space="preserve"> 2017</w:t>
      </w:r>
      <w:r>
        <w:rPr>
          <w:rFonts w:ascii="仿宋_GB2312" w:eastAsia="仿宋_GB2312" w:hint="eastAsia"/>
          <w:color w:val="535353"/>
          <w:sz w:val="25"/>
          <w:szCs w:val="25"/>
        </w:rPr>
        <w:t>年</w:t>
      </w:r>
      <w:r>
        <w:rPr>
          <w:rFonts w:ascii="仿宋_GB2312" w:eastAsia="仿宋_GB2312" w:hint="eastAsia"/>
          <w:color w:val="535353"/>
          <w:sz w:val="25"/>
          <w:szCs w:val="25"/>
        </w:rPr>
        <w:t>5</w:t>
      </w:r>
      <w:r>
        <w:rPr>
          <w:rFonts w:ascii="仿宋_GB2312" w:eastAsia="仿宋_GB2312" w:hint="eastAsia"/>
          <w:color w:val="535353"/>
          <w:sz w:val="25"/>
          <w:szCs w:val="25"/>
        </w:rPr>
        <w:t>月</w:t>
      </w:r>
      <w:r>
        <w:rPr>
          <w:rFonts w:ascii="仿宋_GB2312" w:eastAsia="仿宋_GB2312" w:hint="eastAsia"/>
          <w:color w:val="535353"/>
          <w:sz w:val="25"/>
          <w:szCs w:val="25"/>
        </w:rPr>
        <w:t>18</w:t>
      </w:r>
      <w:r>
        <w:rPr>
          <w:rFonts w:ascii="仿宋_GB2312" w:eastAsia="仿宋_GB2312" w:hint="eastAsia"/>
          <w:color w:val="535353"/>
          <w:sz w:val="25"/>
          <w:szCs w:val="25"/>
        </w:rPr>
        <w:t>日</w:t>
      </w:r>
    </w:p>
    <w:p w:rsidR="00000000" w:rsidRDefault="00095928">
      <w:pPr>
        <w:pStyle w:val="a6"/>
        <w:shd w:val="clear" w:color="auto" w:fill="FFFFFF"/>
        <w:spacing w:line="480" w:lineRule="atLeast"/>
        <w:divId w:val="1874607137"/>
        <w:rPr>
          <w:color w:val="535353"/>
          <w:sz w:val="18"/>
          <w:szCs w:val="18"/>
        </w:rPr>
      </w:pPr>
    </w:p>
    <w:p w:rsidR="00000000" w:rsidRDefault="00095928">
      <w:pPr>
        <w:pStyle w:val="a6"/>
        <w:shd w:val="clear" w:color="auto" w:fill="FFFFFF"/>
        <w:spacing w:line="564" w:lineRule="atLeast"/>
        <w:jc w:val="center"/>
        <w:divId w:val="1874607137"/>
        <w:rPr>
          <w:color w:val="535353"/>
          <w:sz w:val="18"/>
          <w:szCs w:val="18"/>
        </w:rPr>
      </w:pPr>
      <w:r>
        <w:rPr>
          <w:rFonts w:ascii="方正小标宋简体" w:eastAsia="方正小标宋简体" w:hint="eastAsia"/>
          <w:color w:val="535353"/>
          <w:sz w:val="35"/>
          <w:szCs w:val="35"/>
        </w:rPr>
        <w:t>汕尾市专利促进工作实施办法</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第一章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总则</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第一条</w:t>
      </w:r>
      <w:r>
        <w:rPr>
          <w:rStyle w:val="a5"/>
          <w:rFonts w:ascii="仿宋_GB2312" w:eastAsia="仿宋_GB2312" w:hint="eastAsia"/>
          <w:color w:val="535353"/>
          <w:sz w:val="25"/>
          <w:szCs w:val="25"/>
        </w:rPr>
        <w:t> </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为贯彻落实《广东省人民政府关于印发广东省深入实施知识产权战略推动创新驱动发展行动计划的通知》（粤府函〔</w:t>
      </w:r>
      <w:r>
        <w:rPr>
          <w:rFonts w:ascii="仿宋_GB2312" w:eastAsia="仿宋_GB2312" w:hint="eastAsia"/>
          <w:color w:val="535353"/>
          <w:sz w:val="25"/>
          <w:szCs w:val="25"/>
        </w:rPr>
        <w:t>2015</w:t>
      </w:r>
      <w:r>
        <w:rPr>
          <w:rFonts w:ascii="仿宋_GB2312" w:eastAsia="仿宋_GB2312" w:hint="eastAsia"/>
          <w:color w:val="535353"/>
          <w:sz w:val="25"/>
          <w:szCs w:val="25"/>
        </w:rPr>
        <w:t>〕</w:t>
      </w:r>
      <w:r>
        <w:rPr>
          <w:rFonts w:ascii="仿宋_GB2312" w:eastAsia="仿宋_GB2312" w:hint="eastAsia"/>
          <w:color w:val="535353"/>
          <w:sz w:val="25"/>
          <w:szCs w:val="25"/>
        </w:rPr>
        <w:t>266</w:t>
      </w:r>
      <w:r>
        <w:rPr>
          <w:rFonts w:ascii="仿宋_GB2312" w:eastAsia="仿宋_GB2312" w:hint="eastAsia"/>
          <w:color w:val="535353"/>
          <w:sz w:val="25"/>
          <w:szCs w:val="25"/>
        </w:rPr>
        <w:t>号）、广东省知识产权局等</w:t>
      </w:r>
      <w:r>
        <w:rPr>
          <w:rFonts w:ascii="仿宋_GB2312" w:eastAsia="仿宋_GB2312" w:hint="eastAsia"/>
          <w:color w:val="535353"/>
          <w:sz w:val="25"/>
          <w:szCs w:val="25"/>
        </w:rPr>
        <w:t>5</w:t>
      </w:r>
      <w:r>
        <w:rPr>
          <w:rFonts w:ascii="仿宋_GB2312" w:eastAsia="仿宋_GB2312" w:hint="eastAsia"/>
          <w:color w:val="535353"/>
          <w:sz w:val="25"/>
          <w:szCs w:val="25"/>
        </w:rPr>
        <w:t>部门印发的《进一步提升专利申请量和质量的意见》（粤知规〔</w:t>
      </w:r>
      <w:r>
        <w:rPr>
          <w:rFonts w:ascii="仿宋_GB2312" w:eastAsia="仿宋_GB2312" w:hint="eastAsia"/>
          <w:color w:val="535353"/>
          <w:sz w:val="25"/>
          <w:szCs w:val="25"/>
        </w:rPr>
        <w:t>2015</w:t>
      </w:r>
      <w:r>
        <w:rPr>
          <w:rFonts w:ascii="仿宋_GB2312" w:eastAsia="仿宋_GB2312" w:hint="eastAsia"/>
          <w:color w:val="535353"/>
          <w:sz w:val="25"/>
          <w:szCs w:val="25"/>
        </w:rPr>
        <w:t>〕</w:t>
      </w:r>
      <w:r>
        <w:rPr>
          <w:rFonts w:ascii="仿宋_GB2312" w:eastAsia="仿宋_GB2312" w:hint="eastAsia"/>
          <w:color w:val="535353"/>
          <w:sz w:val="25"/>
          <w:szCs w:val="25"/>
        </w:rPr>
        <w:t>47</w:t>
      </w:r>
      <w:r>
        <w:rPr>
          <w:rFonts w:ascii="仿宋_GB2312" w:eastAsia="仿宋_GB2312" w:hint="eastAsia"/>
          <w:color w:val="535353"/>
          <w:sz w:val="25"/>
          <w:szCs w:val="25"/>
        </w:rPr>
        <w:t>号）、《广东省专利申请资助及奖励专项资金管理办法》（粤财教〔</w:t>
      </w:r>
      <w:r>
        <w:rPr>
          <w:rFonts w:ascii="仿宋_GB2312" w:eastAsia="仿宋_GB2312" w:hint="eastAsia"/>
          <w:color w:val="535353"/>
          <w:sz w:val="25"/>
          <w:szCs w:val="25"/>
        </w:rPr>
        <w:t>2014</w:t>
      </w:r>
      <w:r>
        <w:rPr>
          <w:rFonts w:ascii="仿宋_GB2312" w:eastAsia="仿宋_GB2312" w:hint="eastAsia"/>
          <w:color w:val="535353"/>
          <w:sz w:val="25"/>
          <w:szCs w:val="25"/>
        </w:rPr>
        <w:t>〕</w:t>
      </w:r>
      <w:r>
        <w:rPr>
          <w:rFonts w:ascii="仿宋_GB2312" w:eastAsia="仿宋_GB2312" w:hint="eastAsia"/>
          <w:color w:val="535353"/>
          <w:sz w:val="25"/>
          <w:szCs w:val="25"/>
        </w:rPr>
        <w:t>121</w:t>
      </w:r>
      <w:r>
        <w:rPr>
          <w:rFonts w:ascii="仿宋_GB2312" w:eastAsia="仿宋_GB2312" w:hint="eastAsia"/>
          <w:color w:val="535353"/>
          <w:sz w:val="25"/>
          <w:szCs w:val="25"/>
        </w:rPr>
        <w:t>号）和《汕尾市人民政府关于印发汕尾市建设引领型知识产权强市实施方案的通知》（汕府〔</w:t>
      </w:r>
      <w:r>
        <w:rPr>
          <w:rFonts w:ascii="仿宋_GB2312" w:eastAsia="仿宋_GB2312" w:hint="eastAsia"/>
          <w:color w:val="535353"/>
          <w:sz w:val="25"/>
          <w:szCs w:val="25"/>
        </w:rPr>
        <w:t>2016</w:t>
      </w:r>
      <w:r>
        <w:rPr>
          <w:rFonts w:ascii="仿宋_GB2312" w:eastAsia="仿宋_GB2312" w:hint="eastAsia"/>
          <w:color w:val="535353"/>
          <w:sz w:val="25"/>
          <w:szCs w:val="25"/>
        </w:rPr>
        <w:t>〕</w:t>
      </w:r>
      <w:r>
        <w:rPr>
          <w:rFonts w:ascii="仿宋_GB2312" w:eastAsia="仿宋_GB2312" w:hint="eastAsia"/>
          <w:color w:val="535353"/>
          <w:sz w:val="25"/>
          <w:szCs w:val="25"/>
        </w:rPr>
        <w:t>69</w:t>
      </w:r>
      <w:r>
        <w:rPr>
          <w:rFonts w:ascii="仿宋_GB2312" w:eastAsia="仿宋_GB2312" w:hint="eastAsia"/>
          <w:color w:val="535353"/>
          <w:sz w:val="25"/>
          <w:szCs w:val="25"/>
        </w:rPr>
        <w:t>号）、《中共汕尾市委、汕尾市人民政府关于贯彻落实</w:t>
      </w:r>
      <w:r>
        <w:rPr>
          <w:rFonts w:ascii="仿宋_GB2312" w:eastAsia="仿宋_GB2312" w:hint="eastAsia"/>
          <w:color w:val="535353"/>
          <w:sz w:val="25"/>
          <w:szCs w:val="25"/>
        </w:rPr>
        <w:t>&lt;</w:t>
      </w:r>
      <w:r>
        <w:rPr>
          <w:rFonts w:ascii="仿宋_GB2312" w:eastAsia="仿宋_GB2312" w:hint="eastAsia"/>
          <w:color w:val="535353"/>
          <w:sz w:val="25"/>
          <w:szCs w:val="25"/>
        </w:rPr>
        <w:t>中共广东省委、广东省人民政府关于加快建设创新驱动发展先行省的意见</w:t>
      </w:r>
      <w:r>
        <w:rPr>
          <w:rFonts w:ascii="仿宋_GB2312" w:eastAsia="仿宋_GB2312" w:hint="eastAsia"/>
          <w:color w:val="535353"/>
          <w:sz w:val="25"/>
          <w:szCs w:val="25"/>
        </w:rPr>
        <w:t>&gt;</w:t>
      </w:r>
      <w:r>
        <w:rPr>
          <w:rFonts w:ascii="仿宋_GB2312" w:eastAsia="仿宋_GB2312" w:hint="eastAsia"/>
          <w:color w:val="535353"/>
          <w:sz w:val="25"/>
          <w:szCs w:val="25"/>
        </w:rPr>
        <w:t>的实施意见</w:t>
      </w:r>
      <w:r>
        <w:rPr>
          <w:rFonts w:ascii="仿宋_GB2312" w:eastAsia="仿宋_GB2312" w:hint="eastAsia"/>
          <w:color w:val="535353"/>
          <w:sz w:val="25"/>
          <w:szCs w:val="25"/>
        </w:rPr>
        <w:t>》（汕尾发〔</w:t>
      </w:r>
      <w:r>
        <w:rPr>
          <w:rFonts w:ascii="仿宋_GB2312" w:eastAsia="仿宋_GB2312" w:hint="eastAsia"/>
          <w:color w:val="535353"/>
          <w:sz w:val="25"/>
          <w:szCs w:val="25"/>
        </w:rPr>
        <w:t>2016</w:t>
      </w:r>
      <w:r>
        <w:rPr>
          <w:rFonts w:ascii="仿宋_GB2312" w:eastAsia="仿宋_GB2312" w:hint="eastAsia"/>
          <w:color w:val="535353"/>
          <w:sz w:val="25"/>
          <w:szCs w:val="25"/>
        </w:rPr>
        <w:t>〕</w:t>
      </w:r>
      <w:r>
        <w:rPr>
          <w:rFonts w:ascii="仿宋_GB2312" w:eastAsia="仿宋_GB2312" w:hint="eastAsia"/>
          <w:color w:val="535353"/>
          <w:sz w:val="25"/>
          <w:szCs w:val="25"/>
        </w:rPr>
        <w:t>6</w:t>
      </w:r>
      <w:r>
        <w:rPr>
          <w:rFonts w:ascii="仿宋_GB2312" w:eastAsia="仿宋_GB2312" w:hint="eastAsia"/>
          <w:color w:val="535353"/>
          <w:sz w:val="25"/>
          <w:szCs w:val="25"/>
        </w:rPr>
        <w:t>号）等有关文件精神，进一步规范我市专利申请资助工作，鼓励专利申请的积极性，推动促进我市产业转型升级和提升企业核心竞争力，着力打造一批具有知识产权核心竞争力的企业，以知识产权助推创新，提升专利申请质量及拥有量，更加有效促进专利工作，特制定本办法。</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专利促进工作项目经费是指由省、市级财政安排用于提高专利申请数量和质量，优化专利申请结构，保护创新成果，为创新驱动发展提供支撑的资助资金。</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第三条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市知识产权局是专利促进项目资助经费分配使用的业务主管部门，可根据实际需要选择知识产权服务机构、代理机构承担或者协助办理有关具体业务或事务。</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第二章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专利申请资助</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第四条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专利资助范围和资助额度</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（一）专利申请与授权资助对象：</w:t>
      </w:r>
      <w:r>
        <w:rPr>
          <w:rFonts w:ascii="仿宋_GB2312" w:eastAsia="仿宋_GB2312" w:hint="eastAsia"/>
          <w:color w:val="535353"/>
          <w:sz w:val="25"/>
          <w:szCs w:val="25"/>
        </w:rPr>
        <w:t>专利申请人、专利权人以本市地址申请专利，并符合以下之一：</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1.</w:t>
      </w:r>
      <w:r>
        <w:rPr>
          <w:rFonts w:ascii="仿宋_GB2312" w:eastAsia="仿宋_GB2312" w:hint="eastAsia"/>
          <w:color w:val="535353"/>
          <w:sz w:val="25"/>
          <w:szCs w:val="25"/>
        </w:rPr>
        <w:t>本市企事业单位、社会组织等；</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2.</w:t>
      </w:r>
      <w:r>
        <w:rPr>
          <w:rFonts w:ascii="仿宋_GB2312" w:eastAsia="仿宋_GB2312" w:hint="eastAsia"/>
          <w:color w:val="535353"/>
          <w:sz w:val="25"/>
          <w:szCs w:val="25"/>
        </w:rPr>
        <w:t>本市户籍的居民；</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3.</w:t>
      </w:r>
      <w:r>
        <w:rPr>
          <w:rFonts w:ascii="仿宋_GB2312" w:eastAsia="仿宋_GB2312" w:hint="eastAsia"/>
          <w:color w:val="535353"/>
          <w:sz w:val="25"/>
          <w:szCs w:val="25"/>
        </w:rPr>
        <w:t>至申请本项目资助时，在本市工作且连续购买社会保险</w:t>
      </w:r>
      <w:r>
        <w:rPr>
          <w:rFonts w:ascii="仿宋_GB2312" w:eastAsia="仿宋_GB2312" w:hint="eastAsia"/>
          <w:color w:val="535353"/>
          <w:sz w:val="25"/>
          <w:szCs w:val="25"/>
        </w:rPr>
        <w:t>2</w:t>
      </w:r>
      <w:r>
        <w:rPr>
          <w:rFonts w:ascii="仿宋_GB2312" w:eastAsia="仿宋_GB2312" w:hint="eastAsia"/>
          <w:color w:val="535353"/>
          <w:sz w:val="25"/>
          <w:szCs w:val="25"/>
        </w:rPr>
        <w:t>年以上（含</w:t>
      </w:r>
      <w:r>
        <w:rPr>
          <w:rFonts w:ascii="仿宋_GB2312" w:eastAsia="仿宋_GB2312" w:hint="eastAsia"/>
          <w:color w:val="535353"/>
          <w:sz w:val="25"/>
          <w:szCs w:val="25"/>
        </w:rPr>
        <w:t>2</w:t>
      </w:r>
      <w:r>
        <w:rPr>
          <w:rFonts w:ascii="仿宋_GB2312" w:eastAsia="仿宋_GB2312" w:hint="eastAsia"/>
          <w:color w:val="535353"/>
          <w:sz w:val="25"/>
          <w:szCs w:val="25"/>
        </w:rPr>
        <w:t>年）的个人；</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4.</w:t>
      </w:r>
      <w:r>
        <w:rPr>
          <w:rFonts w:ascii="仿宋_GB2312" w:eastAsia="仿宋_GB2312" w:hint="eastAsia"/>
          <w:color w:val="535353"/>
          <w:sz w:val="25"/>
          <w:szCs w:val="25"/>
        </w:rPr>
        <w:t>户籍为本市全日制中小学和高等院校在校学生。</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（二）专利资助额度：</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1.</w:t>
      </w:r>
      <w:r>
        <w:rPr>
          <w:rFonts w:ascii="仿宋_GB2312" w:eastAsia="仿宋_GB2312" w:hint="eastAsia"/>
          <w:color w:val="535353"/>
          <w:sz w:val="25"/>
          <w:szCs w:val="25"/>
        </w:rPr>
        <w:t>国内发明专利申请进入实质审查后每件资助</w:t>
      </w:r>
      <w:r>
        <w:rPr>
          <w:rFonts w:ascii="仿宋_GB2312" w:eastAsia="仿宋_GB2312" w:hint="eastAsia"/>
          <w:color w:val="535353"/>
          <w:sz w:val="25"/>
          <w:szCs w:val="25"/>
        </w:rPr>
        <w:t>3500</w:t>
      </w:r>
      <w:r>
        <w:rPr>
          <w:rFonts w:ascii="仿宋_GB2312" w:eastAsia="仿宋_GB2312" w:hint="eastAsia"/>
          <w:color w:val="535353"/>
          <w:sz w:val="25"/>
          <w:szCs w:val="25"/>
        </w:rPr>
        <w:t>元（获国家知识产权局费用减缓的，不再给予资助）。国内发明专利授权的，获授权后每件资助</w:t>
      </w:r>
      <w:r>
        <w:rPr>
          <w:rFonts w:ascii="仿宋_GB2312" w:eastAsia="仿宋_GB2312" w:hint="eastAsia"/>
          <w:color w:val="535353"/>
          <w:sz w:val="25"/>
          <w:szCs w:val="25"/>
        </w:rPr>
        <w:t>2000</w:t>
      </w:r>
      <w:r>
        <w:rPr>
          <w:rFonts w:ascii="仿宋_GB2312" w:eastAsia="仿宋_GB2312" w:hint="eastAsia"/>
          <w:color w:val="535353"/>
          <w:sz w:val="25"/>
          <w:szCs w:val="25"/>
        </w:rPr>
        <w:t>元。对非电子申请的专利不予资助。</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2.</w:t>
      </w:r>
      <w:r>
        <w:rPr>
          <w:rFonts w:ascii="仿宋_GB2312" w:eastAsia="仿宋_GB2312" w:hint="eastAsia"/>
          <w:color w:val="535353"/>
          <w:sz w:val="25"/>
          <w:szCs w:val="25"/>
        </w:rPr>
        <w:t>通过专利合作条约（</w:t>
      </w:r>
      <w:r>
        <w:rPr>
          <w:rFonts w:ascii="仿宋_GB2312" w:eastAsia="仿宋_GB2312" w:hint="eastAsia"/>
          <w:color w:val="535353"/>
          <w:sz w:val="25"/>
          <w:szCs w:val="25"/>
        </w:rPr>
        <w:t>PatentCooperationTreaty,</w:t>
      </w:r>
      <w:r>
        <w:rPr>
          <w:rFonts w:ascii="仿宋_GB2312" w:eastAsia="仿宋_GB2312" w:hint="eastAsia"/>
          <w:color w:val="535353"/>
          <w:sz w:val="25"/>
          <w:szCs w:val="25"/>
        </w:rPr>
        <w:t>简称</w:t>
      </w:r>
      <w:r>
        <w:rPr>
          <w:rFonts w:ascii="仿宋_GB2312" w:eastAsia="仿宋_GB2312" w:hint="eastAsia"/>
          <w:color w:val="535353"/>
          <w:sz w:val="25"/>
          <w:szCs w:val="25"/>
        </w:rPr>
        <w:t>PCT</w:t>
      </w:r>
      <w:r>
        <w:rPr>
          <w:rFonts w:ascii="仿宋_GB2312" w:eastAsia="仿宋_GB2312" w:hint="eastAsia"/>
          <w:color w:val="535353"/>
          <w:sz w:val="25"/>
          <w:szCs w:val="25"/>
        </w:rPr>
        <w:t>）途径申请境外专利，国标检索单位书面意见（</w:t>
      </w:r>
      <w:r>
        <w:rPr>
          <w:rFonts w:ascii="仿宋_GB2312" w:eastAsia="仿宋_GB2312" w:hint="eastAsia"/>
          <w:color w:val="535353"/>
          <w:sz w:val="25"/>
          <w:szCs w:val="25"/>
        </w:rPr>
        <w:t>237</w:t>
      </w:r>
      <w:r>
        <w:rPr>
          <w:rFonts w:ascii="仿宋_GB2312" w:eastAsia="仿宋_GB2312" w:hint="eastAsia"/>
          <w:color w:val="535353"/>
          <w:sz w:val="25"/>
          <w:szCs w:val="25"/>
        </w:rPr>
        <w:t>表）或者专利性国际初步报告（</w:t>
      </w:r>
      <w:r>
        <w:rPr>
          <w:rFonts w:ascii="仿宋_GB2312" w:eastAsia="仿宋_GB2312" w:hint="eastAsia"/>
          <w:color w:val="535353"/>
          <w:sz w:val="25"/>
          <w:szCs w:val="25"/>
        </w:rPr>
        <w:t>409</w:t>
      </w:r>
      <w:r>
        <w:rPr>
          <w:rFonts w:ascii="仿宋_GB2312" w:eastAsia="仿宋_GB2312" w:hint="eastAsia"/>
          <w:color w:val="535353"/>
          <w:sz w:val="25"/>
          <w:szCs w:val="25"/>
        </w:rPr>
        <w:t>表）显示所有权利要求同时具备新颖性、创造性、实用性的，单位申请的每件资助</w:t>
      </w:r>
      <w:r>
        <w:rPr>
          <w:rFonts w:ascii="仿宋_GB2312" w:eastAsia="仿宋_GB2312" w:hint="eastAsia"/>
          <w:color w:val="535353"/>
          <w:sz w:val="25"/>
          <w:szCs w:val="25"/>
        </w:rPr>
        <w:t>3000</w:t>
      </w:r>
      <w:r>
        <w:rPr>
          <w:rFonts w:ascii="仿宋_GB2312" w:eastAsia="仿宋_GB2312" w:hint="eastAsia"/>
          <w:color w:val="535353"/>
          <w:sz w:val="25"/>
          <w:szCs w:val="25"/>
        </w:rPr>
        <w:t>元人民币，个人申请的每件资助</w:t>
      </w:r>
      <w:r>
        <w:rPr>
          <w:rFonts w:ascii="仿宋_GB2312" w:eastAsia="仿宋_GB2312" w:hint="eastAsia"/>
          <w:color w:val="535353"/>
          <w:sz w:val="25"/>
          <w:szCs w:val="25"/>
        </w:rPr>
        <w:t>2500</w:t>
      </w:r>
      <w:r>
        <w:rPr>
          <w:rFonts w:ascii="仿宋_GB2312" w:eastAsia="仿宋_GB2312" w:hint="eastAsia"/>
          <w:color w:val="535353"/>
          <w:sz w:val="25"/>
          <w:szCs w:val="25"/>
        </w:rPr>
        <w:t>元人民币。</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3.</w:t>
      </w:r>
      <w:r>
        <w:rPr>
          <w:rFonts w:ascii="仿宋_GB2312" w:eastAsia="仿宋_GB2312" w:hint="eastAsia"/>
          <w:color w:val="535353"/>
          <w:sz w:val="25"/>
          <w:szCs w:val="25"/>
        </w:rPr>
        <w:t>获美国、日本、欧盟国家授权的专利每件资助</w:t>
      </w:r>
      <w:r>
        <w:rPr>
          <w:rFonts w:ascii="仿宋_GB2312" w:eastAsia="仿宋_GB2312" w:hint="eastAsia"/>
          <w:color w:val="535353"/>
          <w:sz w:val="25"/>
          <w:szCs w:val="25"/>
        </w:rPr>
        <w:t>500</w:t>
      </w:r>
      <w:r>
        <w:rPr>
          <w:rFonts w:ascii="仿宋_GB2312" w:eastAsia="仿宋_GB2312" w:hint="eastAsia"/>
          <w:color w:val="535353"/>
          <w:sz w:val="25"/>
          <w:szCs w:val="25"/>
        </w:rPr>
        <w:t>0</w:t>
      </w:r>
      <w:r>
        <w:rPr>
          <w:rFonts w:ascii="仿宋_GB2312" w:eastAsia="仿宋_GB2312" w:hint="eastAsia"/>
          <w:color w:val="535353"/>
          <w:sz w:val="25"/>
          <w:szCs w:val="25"/>
        </w:rPr>
        <w:t>元人民币；在设有专利审批机构的其他国家或地区（港澳台除外）获授权的专利每件资助</w:t>
      </w:r>
      <w:r>
        <w:rPr>
          <w:rFonts w:ascii="仿宋_GB2312" w:eastAsia="仿宋_GB2312" w:hint="eastAsia"/>
          <w:color w:val="535353"/>
          <w:sz w:val="25"/>
          <w:szCs w:val="25"/>
        </w:rPr>
        <w:t>4000</w:t>
      </w:r>
      <w:r>
        <w:rPr>
          <w:rFonts w:ascii="仿宋_GB2312" w:eastAsia="仿宋_GB2312" w:hint="eastAsia"/>
          <w:color w:val="535353"/>
          <w:sz w:val="25"/>
          <w:szCs w:val="25"/>
        </w:rPr>
        <w:t>元人民币；获得港澳台授权的发明专利每件资助</w:t>
      </w:r>
      <w:r>
        <w:rPr>
          <w:rFonts w:ascii="仿宋_GB2312" w:eastAsia="仿宋_GB2312" w:hint="eastAsia"/>
          <w:color w:val="535353"/>
          <w:sz w:val="25"/>
          <w:szCs w:val="25"/>
        </w:rPr>
        <w:t>3500</w:t>
      </w:r>
      <w:r>
        <w:rPr>
          <w:rFonts w:ascii="仿宋_GB2312" w:eastAsia="仿宋_GB2312" w:hint="eastAsia"/>
          <w:color w:val="535353"/>
          <w:sz w:val="25"/>
          <w:szCs w:val="25"/>
        </w:rPr>
        <w:t>元人民币。同一</w:t>
      </w:r>
      <w:r>
        <w:rPr>
          <w:rFonts w:ascii="仿宋_GB2312" w:eastAsia="仿宋_GB2312" w:hint="eastAsia"/>
          <w:color w:val="535353"/>
          <w:sz w:val="25"/>
          <w:szCs w:val="25"/>
        </w:rPr>
        <w:t>PCT</w:t>
      </w:r>
      <w:r>
        <w:rPr>
          <w:rFonts w:ascii="仿宋_GB2312" w:eastAsia="仿宋_GB2312" w:hint="eastAsia"/>
          <w:color w:val="535353"/>
          <w:sz w:val="25"/>
          <w:szCs w:val="25"/>
        </w:rPr>
        <w:t>申请最多资助</w:t>
      </w:r>
      <w:r>
        <w:rPr>
          <w:rFonts w:ascii="仿宋_GB2312" w:eastAsia="仿宋_GB2312" w:hint="eastAsia"/>
          <w:color w:val="535353"/>
          <w:sz w:val="25"/>
          <w:szCs w:val="25"/>
        </w:rPr>
        <w:t>2</w:t>
      </w:r>
      <w:r>
        <w:rPr>
          <w:rFonts w:ascii="仿宋_GB2312" w:eastAsia="仿宋_GB2312" w:hint="eastAsia"/>
          <w:color w:val="535353"/>
          <w:sz w:val="25"/>
          <w:szCs w:val="25"/>
        </w:rPr>
        <w:t>个境外国家或地区的专利授权。</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4.</w:t>
      </w:r>
      <w:r>
        <w:rPr>
          <w:rFonts w:ascii="仿宋_GB2312" w:eastAsia="仿宋_GB2312" w:hint="eastAsia"/>
          <w:color w:val="535353"/>
          <w:sz w:val="25"/>
          <w:szCs w:val="25"/>
        </w:rPr>
        <w:t>在校学生参加地级市以上各类发明创新大赛的作品，申请专利代理机构为本市地址的每件资助</w:t>
      </w:r>
      <w:r>
        <w:rPr>
          <w:rFonts w:ascii="仿宋_GB2312" w:eastAsia="仿宋_GB2312" w:hint="eastAsia"/>
          <w:color w:val="535353"/>
          <w:sz w:val="25"/>
          <w:szCs w:val="25"/>
        </w:rPr>
        <w:t>500</w:t>
      </w:r>
      <w:r>
        <w:rPr>
          <w:rFonts w:ascii="仿宋_GB2312" w:eastAsia="仿宋_GB2312" w:hint="eastAsia"/>
          <w:color w:val="535353"/>
          <w:sz w:val="25"/>
          <w:szCs w:val="25"/>
        </w:rPr>
        <w:t>元。</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Style w:val="a5"/>
          <w:rFonts w:ascii="仿宋_GB2312" w:eastAsia="仿宋_GB2312" w:hint="eastAsia"/>
          <w:color w:val="535353"/>
          <w:sz w:val="25"/>
          <w:szCs w:val="25"/>
        </w:rPr>
        <w:t>第五条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每代理</w:t>
      </w:r>
      <w:r>
        <w:rPr>
          <w:rFonts w:ascii="仿宋_GB2312" w:eastAsia="仿宋_GB2312" w:hint="eastAsia"/>
          <w:color w:val="535353"/>
          <w:sz w:val="25"/>
          <w:szCs w:val="25"/>
        </w:rPr>
        <w:t>1</w:t>
      </w:r>
      <w:r>
        <w:rPr>
          <w:rFonts w:ascii="仿宋_GB2312" w:eastAsia="仿宋_GB2312" w:hint="eastAsia"/>
          <w:color w:val="535353"/>
          <w:sz w:val="25"/>
          <w:szCs w:val="25"/>
        </w:rPr>
        <w:t>家企业的首件发明专利申请并获得授权的，对本市专利代理机构（含外市代理机构在本市登记注册二年以上且上年度汕尾属地纳税额</w:t>
      </w:r>
      <w:r>
        <w:rPr>
          <w:rFonts w:ascii="仿宋_GB2312" w:eastAsia="仿宋_GB2312" w:hint="eastAsia"/>
          <w:color w:val="535353"/>
          <w:sz w:val="25"/>
          <w:szCs w:val="25"/>
        </w:rPr>
        <w:t>15</w:t>
      </w:r>
      <w:r>
        <w:rPr>
          <w:rFonts w:ascii="仿宋_GB2312" w:eastAsia="仿宋_GB2312" w:hint="eastAsia"/>
          <w:color w:val="535353"/>
          <w:sz w:val="25"/>
          <w:szCs w:val="25"/>
        </w:rPr>
        <w:t>万元以上（含</w:t>
      </w:r>
      <w:r>
        <w:rPr>
          <w:rFonts w:ascii="仿宋_GB2312" w:eastAsia="仿宋_GB2312" w:hint="eastAsia"/>
          <w:color w:val="535353"/>
          <w:sz w:val="25"/>
          <w:szCs w:val="25"/>
        </w:rPr>
        <w:t>15</w:t>
      </w:r>
      <w:r>
        <w:rPr>
          <w:rFonts w:ascii="仿宋_GB2312" w:eastAsia="仿宋_GB2312" w:hint="eastAsia"/>
          <w:color w:val="535353"/>
          <w:sz w:val="25"/>
          <w:szCs w:val="25"/>
        </w:rPr>
        <w:t>万元）的分支机构）首件申请每件给予</w:t>
      </w:r>
      <w:r>
        <w:rPr>
          <w:rFonts w:ascii="仿宋_GB2312" w:eastAsia="仿宋_GB2312" w:hint="eastAsia"/>
          <w:color w:val="535353"/>
          <w:sz w:val="25"/>
          <w:szCs w:val="25"/>
        </w:rPr>
        <w:t>500</w:t>
      </w:r>
      <w:r>
        <w:rPr>
          <w:rFonts w:ascii="仿宋_GB2312" w:eastAsia="仿宋_GB2312" w:hint="eastAsia"/>
          <w:color w:val="535353"/>
          <w:sz w:val="25"/>
          <w:szCs w:val="25"/>
        </w:rPr>
        <w:t>元的资助。</w:t>
      </w:r>
      <w:r>
        <w:rPr>
          <w:rFonts w:ascii="仿宋_GB2312" w:eastAsia="仿宋_GB2312" w:hint="eastAsia"/>
          <w:color w:val="535353"/>
          <w:sz w:val="25"/>
          <w:szCs w:val="25"/>
        </w:rPr>
        <w:t>同一机构同一年度最高资助额不超过</w:t>
      </w:r>
      <w:r>
        <w:rPr>
          <w:rFonts w:ascii="仿宋_GB2312" w:eastAsia="仿宋_GB2312" w:hint="eastAsia"/>
          <w:color w:val="535353"/>
          <w:sz w:val="25"/>
          <w:szCs w:val="25"/>
        </w:rPr>
        <w:t>5</w:t>
      </w:r>
      <w:r>
        <w:rPr>
          <w:rFonts w:ascii="仿宋_GB2312" w:eastAsia="仿宋_GB2312" w:hint="eastAsia"/>
          <w:color w:val="535353"/>
          <w:sz w:val="25"/>
          <w:szCs w:val="25"/>
        </w:rPr>
        <w:t>万元。对电子申请率未达到</w:t>
      </w:r>
      <w:r>
        <w:rPr>
          <w:rFonts w:ascii="仿宋_GB2312" w:eastAsia="仿宋_GB2312" w:hint="eastAsia"/>
          <w:color w:val="535353"/>
          <w:sz w:val="25"/>
          <w:szCs w:val="25"/>
        </w:rPr>
        <w:t>100%</w:t>
      </w:r>
      <w:r>
        <w:rPr>
          <w:rFonts w:ascii="仿宋_GB2312" w:eastAsia="仿宋_GB2312" w:hint="eastAsia"/>
          <w:color w:val="535353"/>
          <w:sz w:val="25"/>
          <w:szCs w:val="25"/>
        </w:rPr>
        <w:t>的机构不予资助。</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Style w:val="a5"/>
          <w:rFonts w:ascii="仿宋_GB2312" w:eastAsia="仿宋_GB2312" w:hint="eastAsia"/>
          <w:color w:val="535353"/>
          <w:sz w:val="25"/>
          <w:szCs w:val="25"/>
        </w:rPr>
        <w:t>第六条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对当年专利申请量比上年增长</w:t>
      </w:r>
      <w:r>
        <w:rPr>
          <w:rFonts w:ascii="仿宋_GB2312" w:eastAsia="仿宋_GB2312" w:hint="eastAsia"/>
          <w:color w:val="535353"/>
          <w:sz w:val="25"/>
          <w:szCs w:val="25"/>
        </w:rPr>
        <w:t>100%</w:t>
      </w:r>
      <w:r>
        <w:rPr>
          <w:rFonts w:ascii="仿宋_GB2312" w:eastAsia="仿宋_GB2312" w:hint="eastAsia"/>
          <w:color w:val="535353"/>
          <w:sz w:val="25"/>
          <w:szCs w:val="25"/>
        </w:rPr>
        <w:t>以上的企业，专利申请量比上年增加</w:t>
      </w:r>
      <w:r>
        <w:rPr>
          <w:rFonts w:ascii="仿宋_GB2312" w:eastAsia="仿宋_GB2312" w:hint="eastAsia"/>
          <w:color w:val="535353"/>
          <w:sz w:val="25"/>
          <w:szCs w:val="25"/>
        </w:rPr>
        <w:t>10</w:t>
      </w:r>
      <w:r>
        <w:rPr>
          <w:rFonts w:ascii="仿宋_GB2312" w:eastAsia="仿宋_GB2312" w:hint="eastAsia"/>
          <w:color w:val="535353"/>
          <w:sz w:val="25"/>
          <w:szCs w:val="25"/>
        </w:rPr>
        <w:t>件以上（含</w:t>
      </w:r>
      <w:r>
        <w:rPr>
          <w:rFonts w:ascii="仿宋_GB2312" w:eastAsia="仿宋_GB2312" w:hint="eastAsia"/>
          <w:color w:val="535353"/>
          <w:sz w:val="25"/>
          <w:szCs w:val="25"/>
        </w:rPr>
        <w:t>10</w:t>
      </w:r>
      <w:r>
        <w:rPr>
          <w:rFonts w:ascii="仿宋_GB2312" w:eastAsia="仿宋_GB2312" w:hint="eastAsia"/>
          <w:color w:val="535353"/>
          <w:sz w:val="25"/>
          <w:szCs w:val="25"/>
        </w:rPr>
        <w:t>件）且其中发明专利申请占</w:t>
      </w:r>
      <w:r>
        <w:rPr>
          <w:rFonts w:ascii="仿宋_GB2312" w:eastAsia="仿宋_GB2312" w:hint="eastAsia"/>
          <w:color w:val="535353"/>
          <w:sz w:val="25"/>
          <w:szCs w:val="25"/>
        </w:rPr>
        <w:t>20%</w:t>
      </w:r>
      <w:r>
        <w:rPr>
          <w:rFonts w:ascii="仿宋_GB2312" w:eastAsia="仿宋_GB2312" w:hint="eastAsia"/>
          <w:color w:val="535353"/>
          <w:sz w:val="25"/>
          <w:szCs w:val="25"/>
        </w:rPr>
        <w:t>以上的企业，一次性资助</w:t>
      </w:r>
      <w:r>
        <w:rPr>
          <w:rFonts w:ascii="仿宋_GB2312" w:eastAsia="仿宋_GB2312" w:hint="eastAsia"/>
          <w:color w:val="535353"/>
          <w:sz w:val="25"/>
          <w:szCs w:val="25"/>
        </w:rPr>
        <w:t>4000</w:t>
      </w:r>
      <w:r>
        <w:rPr>
          <w:rFonts w:ascii="仿宋_GB2312" w:eastAsia="仿宋_GB2312" w:hint="eastAsia"/>
          <w:color w:val="535353"/>
          <w:sz w:val="25"/>
          <w:szCs w:val="25"/>
        </w:rPr>
        <w:t>元；专利申请量比上年增加</w:t>
      </w:r>
      <w:r>
        <w:rPr>
          <w:rFonts w:ascii="仿宋_GB2312" w:eastAsia="仿宋_GB2312" w:hint="eastAsia"/>
          <w:color w:val="535353"/>
          <w:sz w:val="25"/>
          <w:szCs w:val="25"/>
        </w:rPr>
        <w:t>20</w:t>
      </w:r>
      <w:r>
        <w:rPr>
          <w:rFonts w:ascii="仿宋_GB2312" w:eastAsia="仿宋_GB2312" w:hint="eastAsia"/>
          <w:color w:val="535353"/>
          <w:sz w:val="25"/>
          <w:szCs w:val="25"/>
        </w:rPr>
        <w:t>件以上（含</w:t>
      </w:r>
      <w:r>
        <w:rPr>
          <w:rFonts w:ascii="仿宋_GB2312" w:eastAsia="仿宋_GB2312" w:hint="eastAsia"/>
          <w:color w:val="535353"/>
          <w:sz w:val="25"/>
          <w:szCs w:val="25"/>
        </w:rPr>
        <w:t>20</w:t>
      </w:r>
      <w:r>
        <w:rPr>
          <w:rFonts w:ascii="仿宋_GB2312" w:eastAsia="仿宋_GB2312" w:hint="eastAsia"/>
          <w:color w:val="535353"/>
          <w:sz w:val="25"/>
          <w:szCs w:val="25"/>
        </w:rPr>
        <w:t>件）且其中发明专利申请占</w:t>
      </w:r>
      <w:r>
        <w:rPr>
          <w:rFonts w:ascii="仿宋_GB2312" w:eastAsia="仿宋_GB2312" w:hint="eastAsia"/>
          <w:color w:val="535353"/>
          <w:sz w:val="25"/>
          <w:szCs w:val="25"/>
        </w:rPr>
        <w:t>20%</w:t>
      </w:r>
      <w:r>
        <w:rPr>
          <w:rFonts w:ascii="仿宋_GB2312" w:eastAsia="仿宋_GB2312" w:hint="eastAsia"/>
          <w:color w:val="535353"/>
          <w:sz w:val="25"/>
          <w:szCs w:val="25"/>
        </w:rPr>
        <w:t>以上的企业，一次性资助</w:t>
      </w:r>
      <w:r>
        <w:rPr>
          <w:rFonts w:ascii="仿宋_GB2312" w:eastAsia="仿宋_GB2312" w:hint="eastAsia"/>
          <w:color w:val="535353"/>
          <w:sz w:val="25"/>
          <w:szCs w:val="25"/>
        </w:rPr>
        <w:t>5000</w:t>
      </w:r>
      <w:r>
        <w:rPr>
          <w:rFonts w:ascii="仿宋_GB2312" w:eastAsia="仿宋_GB2312" w:hint="eastAsia"/>
          <w:color w:val="535353"/>
          <w:sz w:val="25"/>
          <w:szCs w:val="25"/>
        </w:rPr>
        <w:t>元；专利申请量比上年增加</w:t>
      </w:r>
      <w:r>
        <w:rPr>
          <w:rFonts w:ascii="仿宋_GB2312" w:eastAsia="仿宋_GB2312" w:hint="eastAsia"/>
          <w:color w:val="535353"/>
          <w:sz w:val="25"/>
          <w:szCs w:val="25"/>
        </w:rPr>
        <w:t>30</w:t>
      </w:r>
      <w:r>
        <w:rPr>
          <w:rFonts w:ascii="仿宋_GB2312" w:eastAsia="仿宋_GB2312" w:hint="eastAsia"/>
          <w:color w:val="535353"/>
          <w:sz w:val="25"/>
          <w:szCs w:val="25"/>
        </w:rPr>
        <w:t>件以上（含</w:t>
      </w:r>
      <w:r>
        <w:rPr>
          <w:rFonts w:ascii="仿宋_GB2312" w:eastAsia="仿宋_GB2312" w:hint="eastAsia"/>
          <w:color w:val="535353"/>
          <w:sz w:val="25"/>
          <w:szCs w:val="25"/>
        </w:rPr>
        <w:t>30</w:t>
      </w:r>
      <w:r>
        <w:rPr>
          <w:rFonts w:ascii="仿宋_GB2312" w:eastAsia="仿宋_GB2312" w:hint="eastAsia"/>
          <w:color w:val="535353"/>
          <w:sz w:val="25"/>
          <w:szCs w:val="25"/>
        </w:rPr>
        <w:t>件）且其中发明专利申请占</w:t>
      </w:r>
      <w:r>
        <w:rPr>
          <w:rFonts w:ascii="仿宋_GB2312" w:eastAsia="仿宋_GB2312" w:hint="eastAsia"/>
          <w:color w:val="535353"/>
          <w:sz w:val="25"/>
          <w:szCs w:val="25"/>
        </w:rPr>
        <w:t>20%</w:t>
      </w:r>
      <w:r>
        <w:rPr>
          <w:rFonts w:ascii="仿宋_GB2312" w:eastAsia="仿宋_GB2312" w:hint="eastAsia"/>
          <w:color w:val="535353"/>
          <w:sz w:val="25"/>
          <w:szCs w:val="25"/>
        </w:rPr>
        <w:t>以上的企业，一次性资助</w:t>
      </w:r>
      <w:r>
        <w:rPr>
          <w:rFonts w:ascii="仿宋_GB2312" w:eastAsia="仿宋_GB2312" w:hint="eastAsia"/>
          <w:color w:val="535353"/>
          <w:sz w:val="25"/>
          <w:szCs w:val="25"/>
        </w:rPr>
        <w:t>6000</w:t>
      </w:r>
      <w:r>
        <w:rPr>
          <w:rFonts w:ascii="仿宋_GB2312" w:eastAsia="仿宋_GB2312" w:hint="eastAsia"/>
          <w:color w:val="535353"/>
          <w:sz w:val="25"/>
          <w:szCs w:val="25"/>
        </w:rPr>
        <w:t>元。</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第七条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有下列情形之一的，不予受理：</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（一）不符</w:t>
      </w:r>
      <w:r>
        <w:rPr>
          <w:rFonts w:ascii="仿宋_GB2312" w:eastAsia="仿宋_GB2312" w:hint="eastAsia"/>
          <w:color w:val="535353"/>
          <w:sz w:val="25"/>
          <w:szCs w:val="25"/>
        </w:rPr>
        <w:t>合申请条件的；</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（二）不属于资助范围的；</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（三）提交的材料不齐全的；</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（四）专利申请权有争议的；</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（五）专利权有争议的；</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（六）已获得有关政府或政府部门同类性质资助的；</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（七）不符合有关法律、法规、规章规定的。</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第八条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本项目各类资助的审查日期为发明专利申请实质审查生效日、发明专利授权公告日、</w:t>
      </w:r>
      <w:r>
        <w:rPr>
          <w:rFonts w:ascii="仿宋_GB2312" w:eastAsia="仿宋_GB2312" w:hint="eastAsia"/>
          <w:color w:val="535353"/>
          <w:sz w:val="25"/>
          <w:szCs w:val="25"/>
        </w:rPr>
        <w:t>PCT</w:t>
      </w:r>
      <w:r>
        <w:rPr>
          <w:rFonts w:ascii="仿宋_GB2312" w:eastAsia="仿宋_GB2312" w:hint="eastAsia"/>
          <w:color w:val="535353"/>
          <w:sz w:val="25"/>
          <w:szCs w:val="25"/>
        </w:rPr>
        <w:t>申请国际检索单位书面意见（</w:t>
      </w:r>
      <w:r>
        <w:rPr>
          <w:rFonts w:ascii="仿宋_GB2312" w:eastAsia="仿宋_GB2312" w:hint="eastAsia"/>
          <w:color w:val="535353"/>
          <w:sz w:val="25"/>
          <w:szCs w:val="25"/>
        </w:rPr>
        <w:t>237</w:t>
      </w:r>
      <w:r>
        <w:rPr>
          <w:rFonts w:ascii="仿宋_GB2312" w:eastAsia="仿宋_GB2312" w:hint="eastAsia"/>
          <w:color w:val="535353"/>
          <w:sz w:val="25"/>
          <w:szCs w:val="25"/>
        </w:rPr>
        <w:t>表）发文日或者专利性国际初步报告（</w:t>
      </w:r>
      <w:r>
        <w:rPr>
          <w:rFonts w:ascii="仿宋_GB2312" w:eastAsia="仿宋_GB2312" w:hint="eastAsia"/>
          <w:color w:val="535353"/>
          <w:sz w:val="25"/>
          <w:szCs w:val="25"/>
        </w:rPr>
        <w:t>409</w:t>
      </w:r>
      <w:r>
        <w:rPr>
          <w:rFonts w:ascii="仿宋_GB2312" w:eastAsia="仿宋_GB2312" w:hint="eastAsia"/>
          <w:color w:val="535353"/>
          <w:sz w:val="25"/>
          <w:szCs w:val="25"/>
        </w:rPr>
        <w:t>表）完成日。专利申请资助项目每半年受理一次，上半年受理上述审查日期在上一年度</w:t>
      </w:r>
      <w:r>
        <w:rPr>
          <w:rFonts w:ascii="仿宋_GB2312" w:eastAsia="仿宋_GB2312" w:hint="eastAsia"/>
          <w:color w:val="535353"/>
          <w:sz w:val="25"/>
          <w:szCs w:val="25"/>
        </w:rPr>
        <w:t>7</w:t>
      </w:r>
      <w:r>
        <w:rPr>
          <w:rFonts w:ascii="仿宋_GB2312" w:eastAsia="仿宋_GB2312" w:hint="eastAsia"/>
          <w:color w:val="535353"/>
          <w:sz w:val="25"/>
          <w:szCs w:val="25"/>
        </w:rPr>
        <w:t>月</w:t>
      </w:r>
      <w:r>
        <w:rPr>
          <w:rFonts w:ascii="仿宋_GB2312" w:eastAsia="仿宋_GB2312" w:hint="eastAsia"/>
          <w:color w:val="535353"/>
          <w:sz w:val="25"/>
          <w:szCs w:val="25"/>
        </w:rPr>
        <w:t>1</w:t>
      </w:r>
      <w:r>
        <w:rPr>
          <w:rFonts w:ascii="仿宋_GB2312" w:eastAsia="仿宋_GB2312" w:hint="eastAsia"/>
          <w:color w:val="535353"/>
          <w:sz w:val="25"/>
          <w:szCs w:val="25"/>
        </w:rPr>
        <w:t>日至</w:t>
      </w:r>
      <w:r>
        <w:rPr>
          <w:rFonts w:ascii="仿宋_GB2312" w:eastAsia="仿宋_GB2312" w:hint="eastAsia"/>
          <w:color w:val="535353"/>
          <w:sz w:val="25"/>
          <w:szCs w:val="25"/>
        </w:rPr>
        <w:t>12</w:t>
      </w:r>
      <w:r>
        <w:rPr>
          <w:rFonts w:ascii="仿宋_GB2312" w:eastAsia="仿宋_GB2312" w:hint="eastAsia"/>
          <w:color w:val="535353"/>
          <w:sz w:val="25"/>
          <w:szCs w:val="25"/>
        </w:rPr>
        <w:t>月</w:t>
      </w:r>
      <w:r>
        <w:rPr>
          <w:rFonts w:ascii="仿宋_GB2312" w:eastAsia="仿宋_GB2312" w:hint="eastAsia"/>
          <w:color w:val="535353"/>
          <w:sz w:val="25"/>
          <w:szCs w:val="25"/>
        </w:rPr>
        <w:t>31</w:t>
      </w:r>
      <w:r>
        <w:rPr>
          <w:rFonts w:ascii="仿宋_GB2312" w:eastAsia="仿宋_GB2312" w:hint="eastAsia"/>
          <w:color w:val="535353"/>
          <w:sz w:val="25"/>
          <w:szCs w:val="25"/>
        </w:rPr>
        <w:t>日期间的资助申请，下半年受理上述审查日期在本年度</w:t>
      </w:r>
      <w:r>
        <w:rPr>
          <w:rFonts w:ascii="仿宋_GB2312" w:eastAsia="仿宋_GB2312" w:hint="eastAsia"/>
          <w:color w:val="535353"/>
          <w:sz w:val="25"/>
          <w:szCs w:val="25"/>
        </w:rPr>
        <w:t>1</w:t>
      </w:r>
      <w:r>
        <w:rPr>
          <w:rFonts w:ascii="仿宋_GB2312" w:eastAsia="仿宋_GB2312" w:hint="eastAsia"/>
          <w:color w:val="535353"/>
          <w:sz w:val="25"/>
          <w:szCs w:val="25"/>
        </w:rPr>
        <w:t>月</w:t>
      </w:r>
      <w:r>
        <w:rPr>
          <w:rFonts w:ascii="仿宋_GB2312" w:eastAsia="仿宋_GB2312" w:hint="eastAsia"/>
          <w:color w:val="535353"/>
          <w:sz w:val="25"/>
          <w:szCs w:val="25"/>
        </w:rPr>
        <w:t>1</w:t>
      </w:r>
      <w:r>
        <w:rPr>
          <w:rFonts w:ascii="仿宋_GB2312" w:eastAsia="仿宋_GB2312" w:hint="eastAsia"/>
          <w:color w:val="535353"/>
          <w:sz w:val="25"/>
          <w:szCs w:val="25"/>
        </w:rPr>
        <w:t>日至</w:t>
      </w:r>
      <w:r>
        <w:rPr>
          <w:rFonts w:ascii="仿宋_GB2312" w:eastAsia="仿宋_GB2312" w:hint="eastAsia"/>
          <w:color w:val="535353"/>
          <w:sz w:val="25"/>
          <w:szCs w:val="25"/>
        </w:rPr>
        <w:t>6</w:t>
      </w:r>
      <w:r>
        <w:rPr>
          <w:rFonts w:ascii="仿宋_GB2312" w:eastAsia="仿宋_GB2312" w:hint="eastAsia"/>
          <w:color w:val="535353"/>
          <w:sz w:val="25"/>
          <w:szCs w:val="25"/>
        </w:rPr>
        <w:t>月</w:t>
      </w:r>
      <w:r>
        <w:rPr>
          <w:rFonts w:ascii="仿宋_GB2312" w:eastAsia="仿宋_GB2312" w:hint="eastAsia"/>
          <w:color w:val="535353"/>
          <w:sz w:val="25"/>
          <w:szCs w:val="25"/>
        </w:rPr>
        <w:t>30</w:t>
      </w:r>
      <w:r>
        <w:rPr>
          <w:rFonts w:ascii="仿宋_GB2312" w:eastAsia="仿宋_GB2312" w:hint="eastAsia"/>
          <w:color w:val="535353"/>
          <w:sz w:val="25"/>
          <w:szCs w:val="25"/>
        </w:rPr>
        <w:t>日期间的资助申请。</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第三章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专利企业认定资助</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第九条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通过认定汕尾市专利优势企业，培育一批专利创造、运用、保护、管理能力强并具有行业影响力的企业。</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申请认定专利优势企业的单位应具备以下条件：</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（一）在本市依法注册具有独立法人资格，符合我市产业发展方向，经营状况和成长性良好；</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（二）有一定的经营规模，有较强的创新能力和新产品开发能力，企业重视专利技术产业化，专利产品销售额占企业总销售额的</w:t>
      </w:r>
      <w:r>
        <w:rPr>
          <w:rFonts w:ascii="仿宋_GB2312" w:eastAsia="仿宋_GB2312" w:hint="eastAsia"/>
          <w:color w:val="535353"/>
          <w:sz w:val="25"/>
          <w:szCs w:val="25"/>
        </w:rPr>
        <w:t xml:space="preserve"> 30% </w:t>
      </w:r>
      <w:r>
        <w:rPr>
          <w:rFonts w:ascii="仿宋_GB2312" w:eastAsia="仿宋_GB2312" w:hint="eastAsia"/>
          <w:color w:val="535353"/>
          <w:sz w:val="25"/>
          <w:szCs w:val="25"/>
        </w:rPr>
        <w:t>以上；研发型企业研发人员占职工总数</w:t>
      </w:r>
      <w:r>
        <w:rPr>
          <w:rFonts w:ascii="仿宋_GB2312" w:eastAsia="仿宋_GB2312" w:hint="eastAsia"/>
          <w:color w:val="535353"/>
          <w:sz w:val="25"/>
          <w:szCs w:val="25"/>
        </w:rPr>
        <w:t>20%</w:t>
      </w:r>
      <w:r>
        <w:rPr>
          <w:rFonts w:ascii="仿宋_GB2312" w:eastAsia="仿宋_GB2312" w:hint="eastAsia"/>
          <w:color w:val="535353"/>
          <w:sz w:val="25"/>
          <w:szCs w:val="25"/>
        </w:rPr>
        <w:t>以上，本科学历以上工作人员超过</w:t>
      </w:r>
      <w:r>
        <w:rPr>
          <w:rFonts w:ascii="仿宋_GB2312" w:eastAsia="仿宋_GB2312" w:hint="eastAsia"/>
          <w:color w:val="535353"/>
          <w:sz w:val="25"/>
          <w:szCs w:val="25"/>
        </w:rPr>
        <w:t>10</w:t>
      </w:r>
      <w:r>
        <w:rPr>
          <w:rFonts w:ascii="仿宋_GB2312" w:eastAsia="仿宋_GB2312" w:hint="eastAsia"/>
          <w:color w:val="535353"/>
          <w:sz w:val="25"/>
          <w:szCs w:val="25"/>
        </w:rPr>
        <w:t>人；</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（三）已设立专门的知识产权管理机构，并配备了专职或兼职工作人员负责知识产权管理工作，建立了比较健全的知识产权管理制度和激励机制；</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（四）企业专利申请和授权的数量和质量逐年提高，</w:t>
      </w:r>
      <w:r>
        <w:rPr>
          <w:rFonts w:ascii="仿宋_GB2312" w:eastAsia="仿宋_GB2312" w:hint="eastAsia"/>
          <w:color w:val="535353"/>
          <w:sz w:val="25"/>
          <w:szCs w:val="25"/>
        </w:rPr>
        <w:t>拥有一定数量的自主知识产权，企业建立主导产品，专利技术在企业整体发展中作用显著；</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五）企业的知识产权宣传、培训和专利信息化工作制度化，知识产权意识不断提高，企业知识产权工作以及企业的整体发展势头较好，且无恶意侵犯他人知识产权的行为，建立知识产权保护和预警机制，尊重他人知识产权，近三年无行政或司法程序认定的专利违法行为；</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（六）企业对知识产权工作的投入</w:t>
      </w:r>
      <w:r>
        <w:rPr>
          <w:rFonts w:ascii="仿宋_GB2312" w:eastAsia="仿宋_GB2312" w:hint="eastAsia"/>
          <w:color w:val="535353"/>
          <w:sz w:val="25"/>
          <w:szCs w:val="25"/>
        </w:rPr>
        <w:t>(</w:t>
      </w:r>
      <w:r>
        <w:rPr>
          <w:rFonts w:ascii="仿宋_GB2312" w:eastAsia="仿宋_GB2312" w:hint="eastAsia"/>
          <w:color w:val="535353"/>
          <w:sz w:val="25"/>
          <w:szCs w:val="25"/>
        </w:rPr>
        <w:t>指对知识产权创造、管理、实施、保护和运营的投入，有关专利申请、维护、诉讼、信息利用、实施、宣传培训的费用</w:t>
      </w:r>
      <w:r>
        <w:rPr>
          <w:rFonts w:ascii="仿宋_GB2312" w:eastAsia="仿宋_GB2312" w:hint="eastAsia"/>
          <w:color w:val="535353"/>
          <w:sz w:val="25"/>
          <w:szCs w:val="25"/>
        </w:rPr>
        <w:t>)</w:t>
      </w:r>
      <w:r>
        <w:rPr>
          <w:rFonts w:ascii="仿宋_GB2312" w:eastAsia="仿宋_GB2312" w:hint="eastAsia"/>
          <w:color w:val="535353"/>
          <w:sz w:val="25"/>
          <w:szCs w:val="25"/>
        </w:rPr>
        <w:t>逐年加大，占企业研发投入总额的比例不低于</w:t>
      </w:r>
      <w:r>
        <w:rPr>
          <w:rFonts w:ascii="仿宋_GB2312" w:eastAsia="仿宋_GB2312" w:hint="eastAsia"/>
          <w:color w:val="535353"/>
          <w:sz w:val="25"/>
          <w:szCs w:val="25"/>
        </w:rPr>
        <w:t>3%</w:t>
      </w:r>
      <w:r>
        <w:rPr>
          <w:rFonts w:ascii="仿宋_GB2312" w:eastAsia="仿宋_GB2312" w:hint="eastAsia"/>
          <w:color w:val="535353"/>
          <w:sz w:val="25"/>
          <w:szCs w:val="25"/>
        </w:rPr>
        <w:t>。</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w:t>
      </w:r>
      <w:r>
        <w:rPr>
          <w:rStyle w:val="a5"/>
          <w:rFonts w:ascii="仿宋_GB2312" w:eastAsia="仿宋_GB2312" w:hint="eastAsia"/>
          <w:color w:val="535353"/>
          <w:sz w:val="25"/>
          <w:szCs w:val="25"/>
        </w:rPr>
        <w:t>十一条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对汕尾市专利优势企业每家一次性资助</w:t>
      </w:r>
      <w:r>
        <w:rPr>
          <w:rFonts w:ascii="仿宋_GB2312" w:eastAsia="仿宋_GB2312" w:hint="eastAsia"/>
          <w:color w:val="535353"/>
          <w:sz w:val="25"/>
          <w:szCs w:val="25"/>
        </w:rPr>
        <w:t>3</w:t>
      </w:r>
      <w:r>
        <w:rPr>
          <w:rFonts w:ascii="仿宋_GB2312" w:eastAsia="仿宋_GB2312" w:hint="eastAsia"/>
          <w:color w:val="535353"/>
          <w:sz w:val="25"/>
          <w:szCs w:val="25"/>
        </w:rPr>
        <w:t>万元。</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第十二条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通过资助企业贯彻《企业知识产权管理规范》（</w:t>
      </w:r>
      <w:r>
        <w:rPr>
          <w:rFonts w:ascii="仿宋_GB2312" w:eastAsia="仿宋_GB2312" w:hint="eastAsia"/>
          <w:color w:val="535353"/>
          <w:sz w:val="25"/>
          <w:szCs w:val="25"/>
        </w:rPr>
        <w:t>GB/T29490</w:t>
      </w:r>
      <w:r>
        <w:rPr>
          <w:rFonts w:ascii="仿宋_GB2312" w:eastAsia="仿宋_GB2312" w:hint="eastAsia"/>
          <w:color w:val="535353"/>
          <w:sz w:val="25"/>
          <w:szCs w:val="25"/>
        </w:rPr>
        <w:t>－</w:t>
      </w:r>
      <w:r>
        <w:rPr>
          <w:rFonts w:ascii="仿宋_GB2312" w:eastAsia="仿宋_GB2312" w:hint="eastAsia"/>
          <w:color w:val="535353"/>
          <w:sz w:val="25"/>
          <w:szCs w:val="25"/>
        </w:rPr>
        <w:t>2013</w:t>
      </w:r>
      <w:r>
        <w:rPr>
          <w:rFonts w:ascii="仿宋_GB2312" w:eastAsia="仿宋_GB2312" w:hint="eastAsia"/>
          <w:color w:val="535353"/>
          <w:sz w:val="25"/>
          <w:szCs w:val="25"/>
        </w:rPr>
        <w:t>），鼓励企业建立科学、系统的知识产权管理体系，提高企业的知识产权能力。</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第十三条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申请知识产权管理贯标资助的企业应符合以下条件：</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（一）在本市依法登记注册；</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（二）通过《企业知识产权管理规范》（</w:t>
      </w:r>
      <w:r>
        <w:rPr>
          <w:rFonts w:ascii="仿宋_GB2312" w:eastAsia="仿宋_GB2312" w:hint="eastAsia"/>
          <w:color w:val="535353"/>
          <w:sz w:val="25"/>
          <w:szCs w:val="25"/>
        </w:rPr>
        <w:t>GB/T29490</w:t>
      </w:r>
      <w:r>
        <w:rPr>
          <w:rFonts w:ascii="仿宋_GB2312" w:eastAsia="仿宋_GB2312" w:hint="eastAsia"/>
          <w:color w:val="535353"/>
          <w:sz w:val="25"/>
          <w:szCs w:val="25"/>
        </w:rPr>
        <w:t>－</w:t>
      </w:r>
      <w:r>
        <w:rPr>
          <w:rFonts w:ascii="仿宋_GB2312" w:eastAsia="仿宋_GB2312" w:hint="eastAsia"/>
          <w:color w:val="535353"/>
          <w:sz w:val="25"/>
          <w:szCs w:val="25"/>
        </w:rPr>
        <w:t>2013</w:t>
      </w:r>
      <w:r>
        <w:rPr>
          <w:rFonts w:ascii="仿宋_GB2312" w:eastAsia="仿宋_GB2312" w:hint="eastAsia"/>
          <w:color w:val="535353"/>
          <w:sz w:val="25"/>
          <w:szCs w:val="25"/>
        </w:rPr>
        <w:t>）认证。</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第十四条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对符合知识产权管理贯标资助条件的企业每家一次性资助</w:t>
      </w:r>
      <w:r>
        <w:rPr>
          <w:rFonts w:ascii="仿宋_GB2312" w:eastAsia="仿宋_GB2312" w:hint="eastAsia"/>
          <w:color w:val="535353"/>
          <w:sz w:val="25"/>
          <w:szCs w:val="25"/>
        </w:rPr>
        <w:t>5</w:t>
      </w:r>
      <w:r>
        <w:rPr>
          <w:rFonts w:ascii="仿宋_GB2312" w:eastAsia="仿宋_GB2312" w:hint="eastAsia"/>
          <w:color w:val="535353"/>
          <w:sz w:val="25"/>
          <w:szCs w:val="25"/>
        </w:rPr>
        <w:t>万元。</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第四章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专利代理机构资助</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第十五条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专利代理机构资助的对象是在省知识产权局备案且在我市设立了分支机构的专利代理机构。</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第十六条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申请单位须符合以下条件：</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（一）正式员工数量达到</w:t>
      </w:r>
      <w:r>
        <w:rPr>
          <w:rFonts w:ascii="仿宋_GB2312" w:eastAsia="仿宋_GB2312" w:hint="eastAsia"/>
          <w:color w:val="535353"/>
          <w:sz w:val="25"/>
          <w:szCs w:val="25"/>
        </w:rPr>
        <w:t>5</w:t>
      </w:r>
      <w:r>
        <w:rPr>
          <w:rFonts w:ascii="仿宋_GB2312" w:eastAsia="仿宋_GB2312" w:hint="eastAsia"/>
          <w:color w:val="535353"/>
          <w:sz w:val="25"/>
          <w:szCs w:val="25"/>
        </w:rPr>
        <w:t>人以上，其中专利代理人不少于</w:t>
      </w:r>
      <w:r>
        <w:rPr>
          <w:rFonts w:ascii="仿宋_GB2312" w:eastAsia="仿宋_GB2312" w:hint="eastAsia"/>
          <w:color w:val="535353"/>
          <w:sz w:val="25"/>
          <w:szCs w:val="25"/>
        </w:rPr>
        <w:t>2</w:t>
      </w:r>
      <w:r>
        <w:rPr>
          <w:rFonts w:ascii="仿宋_GB2312" w:eastAsia="仿宋_GB2312" w:hint="eastAsia"/>
          <w:color w:val="535353"/>
          <w:sz w:val="25"/>
          <w:szCs w:val="25"/>
        </w:rPr>
        <w:t>人；</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（二）拥有规范的公司管理制度和专利代理流程管理制度；</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（三）服务到位，没有发生恶性服务质量投诉，面对有关投诉能够妥善处理。</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Style w:val="a5"/>
          <w:rFonts w:ascii="仿宋_GB2312" w:eastAsia="仿宋_GB2312" w:hint="eastAsia"/>
          <w:color w:val="535353"/>
          <w:sz w:val="25"/>
          <w:szCs w:val="25"/>
        </w:rPr>
        <w:t> </w:t>
      </w:r>
      <w:r>
        <w:rPr>
          <w:rStyle w:val="a5"/>
          <w:rFonts w:ascii="仿宋_GB2312" w:eastAsia="仿宋_GB2312" w:hint="eastAsia"/>
          <w:color w:val="535353"/>
          <w:sz w:val="25"/>
          <w:szCs w:val="25"/>
        </w:rPr>
        <w:t>第十七条</w:t>
      </w:r>
      <w:r>
        <w:rPr>
          <w:rStyle w:val="a5"/>
          <w:rFonts w:ascii="仿宋_GB2312" w:eastAsia="仿宋_GB2312" w:hint="eastAsia"/>
          <w:color w:val="535353"/>
          <w:sz w:val="25"/>
          <w:szCs w:val="25"/>
        </w:rPr>
        <w:t> </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专利代理机构资助方式及额度：</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（一）代理汕尾地址发明专利申请年度授权</w:t>
      </w:r>
      <w:r>
        <w:rPr>
          <w:rFonts w:ascii="仿宋_GB2312" w:eastAsia="仿宋_GB2312" w:hint="eastAsia"/>
          <w:color w:val="535353"/>
          <w:sz w:val="25"/>
          <w:szCs w:val="25"/>
        </w:rPr>
        <w:t>200</w:t>
      </w:r>
      <w:r>
        <w:rPr>
          <w:rFonts w:ascii="仿宋_GB2312" w:eastAsia="仿宋_GB2312" w:hint="eastAsia"/>
          <w:color w:val="535353"/>
          <w:sz w:val="25"/>
          <w:szCs w:val="25"/>
        </w:rPr>
        <w:t>件以上、且同比增长</w:t>
      </w:r>
      <w:r>
        <w:rPr>
          <w:rFonts w:ascii="仿宋_GB2312" w:eastAsia="仿宋_GB2312" w:hint="eastAsia"/>
          <w:color w:val="535353"/>
          <w:sz w:val="25"/>
          <w:szCs w:val="25"/>
        </w:rPr>
        <w:t>20%</w:t>
      </w:r>
      <w:r>
        <w:rPr>
          <w:rFonts w:ascii="仿宋_GB2312" w:eastAsia="仿宋_GB2312" w:hint="eastAsia"/>
          <w:color w:val="535353"/>
          <w:sz w:val="25"/>
          <w:szCs w:val="25"/>
        </w:rPr>
        <w:t>以上，一次性资助</w:t>
      </w:r>
      <w:r>
        <w:rPr>
          <w:rFonts w:ascii="仿宋_GB2312" w:eastAsia="仿宋_GB2312" w:hint="eastAsia"/>
          <w:color w:val="535353"/>
          <w:sz w:val="25"/>
          <w:szCs w:val="25"/>
        </w:rPr>
        <w:t>2</w:t>
      </w:r>
      <w:r>
        <w:rPr>
          <w:rFonts w:ascii="仿宋_GB2312" w:eastAsia="仿宋_GB2312" w:hint="eastAsia"/>
          <w:color w:val="535353"/>
          <w:sz w:val="25"/>
          <w:szCs w:val="25"/>
        </w:rPr>
        <w:t>万元。</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（二）代理汕尾地址发明专利申请年度授权</w:t>
      </w:r>
      <w:r>
        <w:rPr>
          <w:rFonts w:ascii="仿宋_GB2312" w:eastAsia="仿宋_GB2312" w:hint="eastAsia"/>
          <w:color w:val="535353"/>
          <w:sz w:val="25"/>
          <w:szCs w:val="25"/>
        </w:rPr>
        <w:t>600</w:t>
      </w:r>
      <w:r>
        <w:rPr>
          <w:rFonts w:ascii="仿宋_GB2312" w:eastAsia="仿宋_GB2312" w:hint="eastAsia"/>
          <w:color w:val="535353"/>
          <w:sz w:val="25"/>
          <w:szCs w:val="25"/>
        </w:rPr>
        <w:t>件以上，</w:t>
      </w:r>
      <w:r>
        <w:rPr>
          <w:rFonts w:ascii="仿宋_GB2312" w:eastAsia="仿宋_GB2312" w:hint="eastAsia"/>
          <w:color w:val="535353"/>
          <w:sz w:val="25"/>
          <w:szCs w:val="25"/>
        </w:rPr>
        <w:t>一次性资助</w:t>
      </w:r>
      <w:r>
        <w:rPr>
          <w:rFonts w:ascii="仿宋_GB2312" w:eastAsia="仿宋_GB2312" w:hint="eastAsia"/>
          <w:color w:val="535353"/>
          <w:sz w:val="25"/>
          <w:szCs w:val="25"/>
        </w:rPr>
        <w:t>5</w:t>
      </w:r>
      <w:r>
        <w:rPr>
          <w:rFonts w:ascii="仿宋_GB2312" w:eastAsia="仿宋_GB2312" w:hint="eastAsia"/>
          <w:color w:val="535353"/>
          <w:sz w:val="25"/>
          <w:szCs w:val="25"/>
        </w:rPr>
        <w:t>万元。</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第五章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专利事业发展推进计划项目</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第十八条</w:t>
      </w:r>
      <w:r>
        <w:rPr>
          <w:rFonts w:ascii="仿宋_GB2312" w:eastAsia="仿宋_GB2312" w:hint="eastAsia"/>
          <w:color w:val="535353"/>
          <w:sz w:val="25"/>
          <w:szCs w:val="25"/>
        </w:rPr>
        <w:t xml:space="preserve">　实施汕尾市专利事业发展推进计划（以下简称发展计划），把县（市、区）知识产权工作当作全面推进我市知识产权工作和社会发展的重要抓手，以计划资金为引导，以市县（市、区）联动为工作机制，以项目制度管理为工作手段，对各县（市、区）知识产权工作实施分类指导。</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第十九条</w:t>
      </w:r>
      <w:r>
        <w:rPr>
          <w:rStyle w:val="a5"/>
          <w:rFonts w:ascii="仿宋_GB2312" w:eastAsia="仿宋_GB2312" w:hint="eastAsia"/>
          <w:color w:val="535353"/>
          <w:sz w:val="25"/>
          <w:szCs w:val="25"/>
        </w:rPr>
        <w:t xml:space="preserve"> </w:t>
      </w:r>
      <w:r>
        <w:rPr>
          <w:color w:val="535353"/>
          <w:sz w:val="25"/>
          <w:szCs w:val="25"/>
        </w:rPr>
        <w:t>  </w:t>
      </w:r>
      <w:r>
        <w:rPr>
          <w:rFonts w:ascii="仿宋_GB2312" w:eastAsia="仿宋_GB2312" w:hint="eastAsia"/>
          <w:color w:val="535353"/>
          <w:sz w:val="25"/>
          <w:szCs w:val="25"/>
        </w:rPr>
        <w:t>发展计划项目工作任务。为指导各县（市、区）知识产权局完成发展计划，结合知识产权管理部门的工作职能，将专利事业发展推进计划工作目标从体系建设、宣传培训、专利行政保护和企事业单位知识产权工作等几方面分解为若干项工作任务。</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（一）体系建设</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全面贯彻和实施国家、省知识产权战略纲要，进一步完善知识产权管理体系，健全工作制度，努力推动知识产权管理工作队伍的建设；建立和完善知识产权协调机制，加强与各有关部门的协同配合；积极推进知识产权与经济、科技、贸易相结合，争取把加强知识产权工作的内容纳入到各县（市、区）、各县（市、区</w:t>
      </w:r>
      <w:r>
        <w:rPr>
          <w:rFonts w:ascii="仿宋_GB2312" w:eastAsia="仿宋_GB2312" w:hint="eastAsia"/>
          <w:color w:val="535353"/>
          <w:sz w:val="25"/>
          <w:szCs w:val="25"/>
        </w:rPr>
        <w:t>）政府以及有关部门制定的政策文件中去，逐步形成有本地特色的知识产权政策体系，不断提升知识产权工作的地位和作用；紧跟国家重大战略部署，加强专利政策创新，有效推进专利政策与科技产业经济政策相融合。</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（二）宣传培训</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深入开展知识产权宣传普及教育活动，对各级党政领导干部进行知识产权制度、知识产权法律知识和知识产权战略的宣传和培训，增强领导干部的知识产权意识；加强对企事业单位的宣传和培训，增强企事业单位创新、管理、运用和保护知识产权的能力；充分利用各类媒体宣传知识产权法律知识和政策措施，展示我市知识产权工作成果，增进</w:t>
      </w:r>
      <w:r>
        <w:rPr>
          <w:rFonts w:ascii="仿宋_GB2312" w:eastAsia="仿宋_GB2312" w:hint="eastAsia"/>
          <w:color w:val="535353"/>
          <w:sz w:val="25"/>
          <w:szCs w:val="25"/>
        </w:rPr>
        <w:t>社会公众对知识产权制度的认知和理解，形成良好的知识产权社会氛围；因地制宜地开展中小学知识产权教育；加强知识产权人才队伍建设，引进和培养各类知识产权人才；有条件的县（市、区）要积极推广“正版正货”承诺活动。</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（三）专利行政保护</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强化和提高执法能力，积极开展执法协作和联合执法，提高办案的质量、数量和效能，进一步加大对专利违法行为的查处和打击力度；加强法制建设，健全专利行政执法的规范性文件；加强执法队伍建设，进一步规范执法监督和管理，全面提升专利行政保护的整体水平。</w:t>
      </w:r>
    </w:p>
    <w:p w:rsidR="00000000" w:rsidRDefault="00095928">
      <w:pPr>
        <w:pStyle w:val="a6"/>
        <w:shd w:val="clear" w:color="auto" w:fill="FFFFFF"/>
        <w:spacing w:line="480" w:lineRule="atLeast"/>
        <w:ind w:firstLine="384"/>
        <w:divId w:val="1874607137"/>
        <w:rPr>
          <w:color w:val="535353"/>
          <w:sz w:val="18"/>
          <w:szCs w:val="18"/>
        </w:rPr>
      </w:pPr>
      <w:r>
        <w:rPr>
          <w:rStyle w:val="a5"/>
          <w:rFonts w:ascii="楷体_GB2312" w:eastAsia="楷体_GB2312" w:hint="eastAsia"/>
          <w:color w:val="535353"/>
          <w:sz w:val="25"/>
          <w:szCs w:val="25"/>
        </w:rPr>
        <w:t>（四）企事业单位知识产权工作</w:t>
      </w:r>
    </w:p>
    <w:p w:rsidR="00000000" w:rsidRDefault="00095928">
      <w:pPr>
        <w:pStyle w:val="a6"/>
        <w:shd w:val="clear" w:color="auto" w:fill="FFFFFF"/>
        <w:spacing w:line="480" w:lineRule="atLeast"/>
        <w:ind w:firstLine="516"/>
        <w:divId w:val="1874607137"/>
        <w:rPr>
          <w:color w:val="535353"/>
          <w:sz w:val="18"/>
          <w:szCs w:val="18"/>
        </w:rPr>
      </w:pPr>
      <w:r>
        <w:rPr>
          <w:rFonts w:ascii="仿宋_GB2312" w:eastAsia="仿宋_GB2312" w:hint="eastAsia"/>
          <w:color w:val="535353"/>
          <w:sz w:val="25"/>
          <w:szCs w:val="25"/>
        </w:rPr>
        <w:t>强化企业在知识产权工作的主体地位和作用，着力扩大申请专利的企业面；强化企事业单位知识产权意识，全方位提高企事业单位知识产权创造、管理、保护和运用的水平。</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Style w:val="a5"/>
          <w:rFonts w:ascii="楷体_GB2312" w:eastAsia="楷体_GB2312" w:hint="eastAsia"/>
          <w:color w:val="535353"/>
          <w:sz w:val="25"/>
          <w:szCs w:val="25"/>
        </w:rPr>
        <w:t>（五）其他工作。</w:t>
      </w:r>
      <w:r>
        <w:rPr>
          <w:rFonts w:ascii="仿宋_GB2312" w:eastAsia="仿宋_GB2312" w:hint="eastAsia"/>
          <w:color w:val="535353"/>
          <w:sz w:val="25"/>
          <w:szCs w:val="25"/>
        </w:rPr>
        <w:t>各县（市、区）知识产权管理部门应根据本地实际情况，因地制宜，开拓性地开展工作。</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第六章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申请与审查</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第二十条</w:t>
      </w:r>
      <w:r>
        <w:rPr>
          <w:rStyle w:val="a5"/>
          <w:rFonts w:ascii="仿宋_GB2312" w:eastAsia="仿宋_GB2312" w:hint="eastAsia"/>
          <w:color w:val="535353"/>
          <w:sz w:val="25"/>
          <w:szCs w:val="25"/>
        </w:rPr>
        <w:t> </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专利申请资助、专利企业认定资助、专利代理机构资助、专利事业发展推进计划项目等项目资助的申请和审查流程如下：</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（一）申请人及单位根据市知识产权局会同市财政局制定发布的专利促进项目各类资助申报指南提交申请材料。</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（二）专利申请资助与专利企业认定资助的申请材料由申请人所在各县（市、区）知识产权主管部门进行形式审查，所在地市直的直接由市知识产权主管部门进行形式审查。形式审查不合格的，申请人在</w:t>
      </w:r>
      <w:r>
        <w:rPr>
          <w:rFonts w:ascii="仿宋_GB2312" w:eastAsia="仿宋_GB2312" w:hint="eastAsia"/>
          <w:color w:val="535353"/>
          <w:sz w:val="25"/>
          <w:szCs w:val="25"/>
        </w:rPr>
        <w:t>2</w:t>
      </w:r>
      <w:r>
        <w:rPr>
          <w:rFonts w:ascii="仿宋_GB2312" w:eastAsia="仿宋_GB2312" w:hint="eastAsia"/>
          <w:color w:val="535353"/>
          <w:sz w:val="25"/>
          <w:szCs w:val="25"/>
        </w:rPr>
        <w:t>个工作日内可重新提交申请材料。申请人在</w:t>
      </w:r>
      <w:r>
        <w:rPr>
          <w:rFonts w:ascii="仿宋_GB2312" w:eastAsia="仿宋_GB2312" w:hint="eastAsia"/>
          <w:color w:val="535353"/>
          <w:sz w:val="25"/>
          <w:szCs w:val="25"/>
        </w:rPr>
        <w:t>2</w:t>
      </w:r>
      <w:r>
        <w:rPr>
          <w:rFonts w:ascii="仿宋_GB2312" w:eastAsia="仿宋_GB2312" w:hint="eastAsia"/>
          <w:color w:val="535353"/>
          <w:sz w:val="25"/>
          <w:szCs w:val="25"/>
        </w:rPr>
        <w:t>个工作日内未按规定重新提交申请材料或重新提交申请材料两次仍不合格的，视为放弃申请。</w:t>
      </w:r>
    </w:p>
    <w:p w:rsidR="00000000" w:rsidRDefault="00095928">
      <w:pPr>
        <w:pStyle w:val="a6"/>
        <w:shd w:val="clear" w:color="auto" w:fill="FFFFFF"/>
        <w:spacing w:line="480" w:lineRule="atLeast"/>
        <w:ind w:firstLine="384"/>
        <w:divId w:val="1874607137"/>
        <w:rPr>
          <w:color w:val="535353"/>
          <w:sz w:val="18"/>
          <w:szCs w:val="18"/>
        </w:rPr>
      </w:pPr>
      <w:r>
        <w:rPr>
          <w:rFonts w:ascii="仿宋_GB2312" w:eastAsia="仿宋_GB2312" w:hint="eastAsia"/>
          <w:color w:val="535353"/>
          <w:sz w:val="25"/>
          <w:szCs w:val="25"/>
        </w:rPr>
        <w:t>（三）市知识产权局会同市财政局对申报项目进行合规性审核，对需要评审的项目并组织专家评审，市知识产权局根据专家评审意见研究提出专项资金分配方案，报经市财政局审核，经市知识产权局公示无异议后，市财政局负责办理专项</w:t>
      </w:r>
      <w:r>
        <w:rPr>
          <w:rFonts w:ascii="仿宋_GB2312" w:eastAsia="仿宋_GB2312" w:hint="eastAsia"/>
          <w:color w:val="535353"/>
          <w:sz w:val="25"/>
          <w:szCs w:val="25"/>
        </w:rPr>
        <w:t>资金拨付手续。</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第七章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监督管理</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第二十一条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专利促进项目资助经费的监督管理按照市政府资金管理、绩效评价、监察、审计等有关规定执行。</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市知识产权局应对项目实施和专项资金使用情况进行检查，开展绩效自评，协助市财政局组织绩效评价。市财政局、市审计局、市纪检监察机关对专项资金预算执行、资金使用效益和财务管理等方面的情况进行监督检查。</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第二十二条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获得专利促进项目资助资金的单位要切实加强对资金的使用管理，自觉接受市财政、审计、监察等部门的监督检查，严格执行财务规章制度和会计核算办法。</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专项资金必须专款专用</w:t>
      </w:r>
      <w:r>
        <w:rPr>
          <w:rFonts w:ascii="仿宋_GB2312" w:eastAsia="仿宋_GB2312" w:hint="eastAsia"/>
          <w:color w:val="535353"/>
          <w:sz w:val="25"/>
          <w:szCs w:val="25"/>
        </w:rPr>
        <w:t>，严禁截留、挪用。凡属未按规定专账核算、专账管理、弄虚作假、冒领、截留、挤占、挪用等违反财经纪律行为的相关责任人，依照相应法律法规严肃处理；对涉嫌犯罪的，依法移送司法机关追究刑事责任。</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第二十三条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受市知识产权局委托承担或协助办理有关具体事务的中介机构在项目承担过程中，玩忽职守、弄虚作假或者与资助申请人串通作弊，骗取资助资金的，市知识产权局有权终止委托，将追回已拨付的资金，列入黑名单并通报批评，五年内不再享受市财政各类资助，依照相应法律法规严肃处理；对涉嫌犯罪的，依法移送司法机关追究刑事责任。</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第二十四条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资金管理工作人员没有认真履行职责，在管理和监督工作中滥用职权、玩忽职守、徇私舞弊及其他违法违纪行为的，由市主管部门、监察机关等相关部门依照相应法律法规追究相关责任。</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jc w:val="center"/>
        <w:divId w:val="1874607137"/>
        <w:rPr>
          <w:color w:val="535353"/>
          <w:sz w:val="18"/>
          <w:szCs w:val="18"/>
        </w:rPr>
      </w:pPr>
      <w:r>
        <w:rPr>
          <w:rFonts w:ascii="黑体" w:eastAsia="黑体" w:hint="eastAsia"/>
          <w:color w:val="535353"/>
          <w:sz w:val="25"/>
          <w:szCs w:val="25"/>
        </w:rPr>
        <w:t>第八章</w:t>
      </w:r>
      <w:r>
        <w:rPr>
          <w:rFonts w:ascii="黑体" w:eastAsia="黑体" w:hint="eastAsia"/>
          <w:color w:val="535353"/>
          <w:sz w:val="25"/>
          <w:szCs w:val="25"/>
        </w:rPr>
        <w:t> </w:t>
      </w:r>
      <w:r>
        <w:rPr>
          <w:rFonts w:ascii="黑体" w:eastAsia="黑体" w:hint="eastAsia"/>
          <w:color w:val="535353"/>
          <w:sz w:val="25"/>
          <w:szCs w:val="25"/>
        </w:rPr>
        <w:t xml:space="preserve"> </w:t>
      </w:r>
      <w:r>
        <w:rPr>
          <w:rFonts w:ascii="黑体" w:eastAsia="黑体" w:hint="eastAsia"/>
          <w:color w:val="535353"/>
          <w:sz w:val="25"/>
          <w:szCs w:val="25"/>
        </w:rPr>
        <w:t>附则</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p>
    <w:p w:rsidR="00000000" w:rsidRDefault="00095928">
      <w:pPr>
        <w:pStyle w:val="a6"/>
        <w:shd w:val="clear" w:color="auto" w:fill="FFFFFF"/>
        <w:spacing w:line="480" w:lineRule="atLeast"/>
        <w:ind w:firstLine="516"/>
        <w:divId w:val="1874607137"/>
        <w:rPr>
          <w:color w:val="535353"/>
          <w:sz w:val="18"/>
          <w:szCs w:val="18"/>
        </w:rPr>
      </w:pPr>
      <w:r>
        <w:rPr>
          <w:rStyle w:val="a5"/>
          <w:rFonts w:ascii="仿宋_GB2312" w:eastAsia="仿宋_GB2312" w:hint="eastAsia"/>
          <w:color w:val="535353"/>
          <w:sz w:val="25"/>
          <w:szCs w:val="25"/>
        </w:rPr>
        <w:t>第二十五条</w:t>
      </w:r>
      <w:r>
        <w:rPr>
          <w:rStyle w:val="a5"/>
          <w:rFonts w:ascii="仿宋_GB2312" w:eastAsia="仿宋_GB2312" w:hint="eastAsia"/>
          <w:color w:val="535353"/>
          <w:sz w:val="25"/>
          <w:szCs w:val="25"/>
        </w:rPr>
        <w:t xml:space="preserve"> </w:t>
      </w:r>
      <w:r>
        <w:rPr>
          <w:rFonts w:ascii="仿宋_GB2312" w:eastAsia="仿宋_GB2312" w:hint="eastAsia"/>
          <w:color w:val="535353"/>
          <w:sz w:val="25"/>
          <w:szCs w:val="25"/>
        </w:rPr>
        <w:t> </w:t>
      </w:r>
      <w:r>
        <w:rPr>
          <w:rFonts w:ascii="仿宋_GB2312" w:eastAsia="仿宋_GB2312" w:hint="eastAsia"/>
          <w:color w:val="535353"/>
          <w:sz w:val="25"/>
          <w:szCs w:val="25"/>
        </w:rPr>
        <w:t>本办法由市知识产权局负责解释。</w:t>
      </w:r>
    </w:p>
    <w:p w:rsidR="00000000" w:rsidRDefault="00095928">
      <w:pPr>
        <w:pStyle w:val="a6"/>
        <w:shd w:val="clear" w:color="auto" w:fill="FFFFFF"/>
        <w:spacing w:line="480" w:lineRule="atLeast"/>
        <w:divId w:val="1874607137"/>
        <w:rPr>
          <w:color w:val="535353"/>
          <w:sz w:val="18"/>
          <w:szCs w:val="18"/>
        </w:rPr>
      </w:pP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Style w:val="a5"/>
          <w:rFonts w:ascii="仿宋_GB2312" w:eastAsia="仿宋_GB2312" w:hint="eastAsia"/>
          <w:color w:val="535353"/>
          <w:sz w:val="25"/>
          <w:szCs w:val="25"/>
        </w:rPr>
        <w:t>第二十六条</w:t>
      </w:r>
      <w:r>
        <w:rPr>
          <w:rFonts w:ascii="仿宋_GB2312" w:eastAsia="仿宋_GB2312" w:hint="eastAsia"/>
          <w:color w:val="535353"/>
          <w:sz w:val="25"/>
          <w:szCs w:val="25"/>
        </w:rPr>
        <w:t> </w:t>
      </w:r>
      <w:r>
        <w:rPr>
          <w:rFonts w:ascii="仿宋_GB2312" w:eastAsia="仿宋_GB2312" w:hint="eastAsia"/>
          <w:color w:val="535353"/>
          <w:sz w:val="25"/>
          <w:szCs w:val="25"/>
        </w:rPr>
        <w:t xml:space="preserve"> </w:t>
      </w:r>
      <w:r>
        <w:rPr>
          <w:rFonts w:ascii="仿宋_GB2312" w:eastAsia="仿宋_GB2312" w:hint="eastAsia"/>
          <w:color w:val="535353"/>
          <w:sz w:val="25"/>
          <w:szCs w:val="25"/>
        </w:rPr>
        <w:t>本办法自发布之日起实施，有效期至</w:t>
      </w:r>
      <w:r>
        <w:rPr>
          <w:rFonts w:ascii="仿宋_GB2312" w:eastAsia="仿宋_GB2312" w:hint="eastAsia"/>
          <w:color w:val="535353"/>
          <w:sz w:val="25"/>
          <w:szCs w:val="25"/>
        </w:rPr>
        <w:t>2021</w:t>
      </w:r>
      <w:r>
        <w:rPr>
          <w:rFonts w:ascii="仿宋_GB2312" w:eastAsia="仿宋_GB2312" w:hint="eastAsia"/>
          <w:color w:val="535353"/>
          <w:sz w:val="25"/>
          <w:szCs w:val="25"/>
        </w:rPr>
        <w:t>年</w:t>
      </w:r>
      <w:r>
        <w:rPr>
          <w:rFonts w:ascii="仿宋_GB2312" w:eastAsia="仿宋_GB2312" w:hint="eastAsia"/>
          <w:color w:val="535353"/>
          <w:sz w:val="25"/>
          <w:szCs w:val="25"/>
        </w:rPr>
        <w:t>10</w:t>
      </w:r>
      <w:r>
        <w:rPr>
          <w:rFonts w:ascii="仿宋_GB2312" w:eastAsia="仿宋_GB2312" w:hint="eastAsia"/>
          <w:color w:val="535353"/>
          <w:sz w:val="25"/>
          <w:szCs w:val="25"/>
        </w:rPr>
        <w:t>月</w:t>
      </w:r>
      <w:r>
        <w:rPr>
          <w:rFonts w:ascii="仿宋_GB2312" w:eastAsia="仿宋_GB2312" w:hint="eastAsia"/>
          <w:color w:val="535353"/>
          <w:sz w:val="25"/>
          <w:szCs w:val="25"/>
        </w:rPr>
        <w:t>20</w:t>
      </w:r>
      <w:r>
        <w:rPr>
          <w:rFonts w:ascii="仿宋_GB2312" w:eastAsia="仿宋_GB2312" w:hint="eastAsia"/>
          <w:color w:val="535353"/>
          <w:sz w:val="25"/>
          <w:szCs w:val="25"/>
        </w:rPr>
        <w:t>日。《汕尾市专利申请费用资助暂行办法》（汕科字〔</w:t>
      </w:r>
      <w:r>
        <w:rPr>
          <w:rFonts w:ascii="仿宋_GB2312" w:eastAsia="仿宋_GB2312" w:hint="eastAsia"/>
          <w:color w:val="535353"/>
          <w:sz w:val="25"/>
          <w:szCs w:val="25"/>
        </w:rPr>
        <w:t>2000</w:t>
      </w:r>
      <w:r>
        <w:rPr>
          <w:rFonts w:ascii="仿宋_GB2312" w:eastAsia="仿宋_GB2312" w:hint="eastAsia"/>
          <w:color w:val="535353"/>
          <w:sz w:val="25"/>
          <w:szCs w:val="25"/>
        </w:rPr>
        <w:t>〕</w:t>
      </w:r>
      <w:r>
        <w:rPr>
          <w:rFonts w:ascii="仿宋_GB2312" w:eastAsia="仿宋_GB2312" w:hint="eastAsia"/>
          <w:color w:val="535353"/>
          <w:sz w:val="25"/>
          <w:szCs w:val="25"/>
        </w:rPr>
        <w:t>12</w:t>
      </w:r>
      <w:r>
        <w:rPr>
          <w:rFonts w:ascii="仿宋_GB2312" w:eastAsia="仿宋_GB2312" w:hint="eastAsia"/>
          <w:color w:val="535353"/>
          <w:sz w:val="25"/>
          <w:szCs w:val="25"/>
        </w:rPr>
        <w:t>号）同时废止。</w:t>
      </w:r>
    </w:p>
    <w:p w:rsidR="00000000" w:rsidRDefault="00095928">
      <w:pPr>
        <w:divId w:val="198594219"/>
        <w:rPr>
          <w:rFonts w:hint="eastAsia"/>
          <w:sz w:val="17"/>
          <w:szCs w:val="17"/>
        </w:rPr>
      </w:pP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4C2D"/>
    <w:multiLevelType w:val="multilevel"/>
    <w:tmpl w:val="5A9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defaultTabStop w:val="420"/>
  <w:noPunctuationKerning/>
  <w:characterSpacingControl w:val="doNotCompress"/>
  <w:compat>
    <w:useFELayout/>
  </w:compat>
  <w:rsids>
    <w:rsidRoot w:val="002E5FC1"/>
    <w:rsid w:val="00095928"/>
    <w:rsid w:val="002E5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rPr>
  </w:style>
  <w:style w:type="character" w:styleId="a4">
    <w:name w:val="FollowedHyperlink"/>
    <w:basedOn w:val="a0"/>
    <w:uiPriority w:val="99"/>
    <w:semiHidden/>
    <w:unhideWhenUsed/>
    <w:rPr>
      <w:strike w:val="0"/>
      <w:dstrike w:val="0"/>
      <w:color w:val="666666"/>
      <w:u w:val="none"/>
      <w:effect w:val="none"/>
    </w:rPr>
  </w:style>
  <w:style w:type="character" w:customStyle="1" w:styleId="3Char">
    <w:name w:val="标题 3 Char"/>
    <w:basedOn w:val="a0"/>
    <w:link w:val="3"/>
    <w:uiPriority w:val="9"/>
    <w:semiHidden/>
    <w:rPr>
      <w:rFonts w:ascii="宋体" w:eastAsia="宋体" w:hAnsi="宋体" w:cs="宋体"/>
      <w:b/>
      <w:bCs/>
      <w:sz w:val="32"/>
      <w:szCs w:val="32"/>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footer">
    <w:name w:val="footer"/>
    <w:basedOn w:val="a"/>
    <w:pPr>
      <w:spacing w:before="240" w:after="100" w:afterAutospacing="1"/>
    </w:pPr>
  </w:style>
  <w:style w:type="paragraph" w:customStyle="1" w:styleId="mar">
    <w:name w:val="mar"/>
    <w:basedOn w:val="a"/>
  </w:style>
  <w:style w:type="paragraph" w:customStyle="1" w:styleId="cen-div">
    <w:name w:val="cen-div"/>
    <w:basedOn w:val="a"/>
    <w:pPr>
      <w:spacing w:before="100" w:beforeAutospacing="1" w:after="100" w:afterAutospacing="1"/>
    </w:pPr>
  </w:style>
  <w:style w:type="paragraph" w:customStyle="1" w:styleId="contitleleft">
    <w:name w:val="con_title_left"/>
    <w:basedOn w:val="a"/>
    <w:pPr>
      <w:spacing w:before="100" w:beforeAutospacing="1" w:after="100" w:afterAutospacing="1" w:line="360" w:lineRule="atLeast"/>
    </w:pPr>
    <w:rPr>
      <w:color w:val="9E9E9E"/>
    </w:rPr>
  </w:style>
  <w:style w:type="paragraph" w:customStyle="1" w:styleId="title">
    <w:name w:val="title"/>
    <w:basedOn w:val="a"/>
    <w:pPr>
      <w:spacing w:before="100" w:beforeAutospacing="1" w:after="100" w:afterAutospacing="1"/>
    </w:pPr>
    <w:rPr>
      <w:sz w:val="31"/>
      <w:szCs w:val="31"/>
    </w:rPr>
  </w:style>
  <w:style w:type="paragraph" w:customStyle="1" w:styleId="listlefttitle">
    <w:name w:val="list_left_title"/>
    <w:basedOn w:val="a"/>
    <w:pPr>
      <w:spacing w:before="100" w:beforeAutospacing="1" w:after="100" w:afterAutospacing="1"/>
    </w:pPr>
    <w:rPr>
      <w:color w:val="2086DA"/>
    </w:rPr>
  </w:style>
  <w:style w:type="paragraph" w:customStyle="1" w:styleId="cen-div-1">
    <w:name w:val="cen-div-1"/>
    <w:basedOn w:val="a"/>
    <w:pPr>
      <w:pBdr>
        <w:top w:val="single" w:sz="4" w:space="0" w:color="EEEEEE"/>
      </w:pBdr>
      <w:spacing w:before="100" w:beforeAutospacing="1" w:after="100" w:afterAutospacing="1"/>
    </w:pPr>
  </w:style>
  <w:style w:type="paragraph" w:customStyle="1" w:styleId="con-left">
    <w:name w:val="con-left"/>
    <w:basedOn w:val="a"/>
    <w:pPr>
      <w:pBdr>
        <w:right w:val="single" w:sz="4" w:space="0" w:color="EEEEEE"/>
      </w:pBdr>
      <w:spacing w:before="100" w:beforeAutospacing="1" w:after="100" w:afterAutospacing="1"/>
    </w:pPr>
  </w:style>
  <w:style w:type="paragraph" w:customStyle="1" w:styleId="con-right">
    <w:name w:val="con-right"/>
    <w:basedOn w:val="a"/>
    <w:pPr>
      <w:spacing w:before="100" w:beforeAutospacing="1" w:after="100" w:afterAutospacing="1"/>
    </w:pPr>
  </w:style>
  <w:style w:type="paragraph" w:customStyle="1" w:styleId="listdiv">
    <w:name w:val="list_div"/>
    <w:basedOn w:val="a"/>
    <w:pPr>
      <w:pBdr>
        <w:bottom w:val="single" w:sz="4" w:space="9" w:color="CCCCCC"/>
      </w:pBdr>
      <w:spacing w:before="100" w:beforeAutospacing="1" w:after="100" w:afterAutospacing="1"/>
    </w:pPr>
  </w:style>
  <w:style w:type="paragraph" w:customStyle="1" w:styleId="list-righttitle">
    <w:name w:val="list-right_title"/>
    <w:basedOn w:val="a"/>
    <w:pPr>
      <w:spacing w:before="100" w:beforeAutospacing="1" w:after="100" w:afterAutospacing="1" w:line="600" w:lineRule="atLeast"/>
    </w:pPr>
    <w:rPr>
      <w:color w:val="525252"/>
      <w:sz w:val="29"/>
      <w:szCs w:val="29"/>
    </w:rPr>
  </w:style>
  <w:style w:type="paragraph" w:customStyle="1" w:styleId="column-name">
    <w:name w:val="column-name"/>
    <w:basedOn w:val="a"/>
    <w:pPr>
      <w:shd w:val="clear" w:color="auto" w:fill="4D9EE1"/>
      <w:spacing w:before="100" w:beforeAutospacing="1" w:after="100" w:afterAutospacing="1"/>
    </w:pPr>
    <w:rPr>
      <w:color w:val="FFFFFF"/>
    </w:rPr>
  </w:style>
  <w:style w:type="paragraph" w:customStyle="1" w:styleId="marlist">
    <w:name w:val="mar_list"/>
    <w:basedOn w:val="a"/>
    <w:pPr>
      <w:spacing w:after="240"/>
    </w:pPr>
  </w:style>
  <w:style w:type="paragraph" w:customStyle="1" w:styleId="marcen">
    <w:name w:val="mar_cen"/>
    <w:basedOn w:val="a"/>
    <w:pPr>
      <w:spacing w:after="240"/>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rPr>
      <w:color w:val="666666"/>
    </w:rPr>
  </w:style>
  <w:style w:type="paragraph" w:customStyle="1" w:styleId="titlecen">
    <w:name w:val="title_cen"/>
    <w:basedOn w:val="a"/>
    <w:pPr>
      <w:spacing w:before="100" w:beforeAutospacing="1" w:after="100" w:afterAutospacing="1"/>
    </w:pPr>
    <w:rPr>
      <w:color w:val="DF3A39"/>
      <w:sz w:val="29"/>
      <w:szCs w:val="29"/>
    </w:rPr>
  </w:style>
  <w:style w:type="paragraph" w:customStyle="1" w:styleId="condiv">
    <w:name w:val="con_div"/>
    <w:basedOn w:val="a"/>
    <w:pPr>
      <w:pBdr>
        <w:bottom w:val="single" w:sz="4" w:space="6" w:color="E5E5E5"/>
      </w:pBdr>
      <w:spacing w:before="100" w:beforeAutospacing="1" w:after="100" w:afterAutospacing="1"/>
    </w:pPr>
    <w:rPr>
      <w:color w:val="9E9E9E"/>
    </w:rPr>
  </w:style>
  <w:style w:type="paragraph" w:customStyle="1" w:styleId="printico">
    <w:name w:val="printico"/>
    <w:basedOn w:val="a"/>
    <w:pPr>
      <w:spacing w:before="100" w:beforeAutospacing="1" w:after="100" w:afterAutospacing="1"/>
      <w:ind w:left="240"/>
    </w:p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infoewm">
    <w:name w:val="info_ewm"/>
    <w:basedOn w:val="a"/>
    <w:pPr>
      <w:spacing w:before="100" w:beforeAutospacing="1" w:after="100" w:afterAutospacing="1" w:line="300" w:lineRule="atLeast"/>
      <w:jc w:val="center"/>
    </w:pPr>
    <w:rPr>
      <w:color w:val="999999"/>
    </w:rPr>
  </w:style>
  <w:style w:type="paragraph" w:customStyle="1" w:styleId="dy">
    <w:name w:val="dy"/>
    <w:basedOn w:val="a"/>
    <w:pPr>
      <w:pBdr>
        <w:top w:val="single" w:sz="4" w:space="0" w:color="E5E5E5"/>
      </w:pBdr>
      <w:spacing w:before="100" w:beforeAutospacing="1" w:after="100" w:afterAutospacing="1" w:line="600" w:lineRule="atLeast"/>
    </w:pPr>
  </w:style>
  <w:style w:type="paragraph" w:customStyle="1" w:styleId="time">
    <w:name w:val="time"/>
    <w:basedOn w:val="a"/>
    <w:pPr>
      <w:spacing w:before="100" w:beforeAutospacing="1" w:after="100" w:afterAutospacing="1"/>
    </w:pPr>
  </w:style>
  <w:style w:type="paragraph" w:customStyle="1" w:styleId="jgbmrightldfg">
    <w:name w:val="jgbm_right_ldfg"/>
    <w:basedOn w:val="a"/>
    <w:pPr>
      <w:spacing w:before="300" w:after="300"/>
      <w:ind w:left="300" w:right="300"/>
    </w:pPr>
    <w:rPr>
      <w:color w:val="535353"/>
    </w:rPr>
  </w:style>
  <w:style w:type="paragraph" w:customStyle="1" w:styleId="jgldr7">
    <w:name w:val="jgld_r7"/>
    <w:basedOn w:val="a"/>
    <w:pPr>
      <w:spacing w:before="100" w:beforeAutospacing="1" w:after="100" w:afterAutospacing="1" w:line="300" w:lineRule="atLeast"/>
    </w:pPr>
    <w:rPr>
      <w:sz w:val="26"/>
      <w:szCs w:val="26"/>
    </w:rPr>
  </w:style>
  <w:style w:type="paragraph" w:customStyle="1" w:styleId="lydiv">
    <w:name w:val="ly_div"/>
    <w:basedOn w:val="a"/>
    <w:pPr>
      <w:pBdr>
        <w:bottom w:val="single" w:sz="4" w:space="0" w:color="E5E5E5"/>
      </w:pBdr>
      <w:spacing w:before="120" w:after="240" w:line="420" w:lineRule="atLeast"/>
    </w:pPr>
    <w:rPr>
      <w:color w:val="666666"/>
    </w:rPr>
  </w:style>
  <w:style w:type="paragraph" w:customStyle="1" w:styleId="ctime">
    <w:name w:val="c_time"/>
    <w:basedOn w:val="a"/>
    <w:pPr>
      <w:spacing w:before="100" w:beforeAutospacing="1" w:after="100" w:afterAutospacing="1"/>
    </w:pPr>
  </w:style>
  <w:style w:type="paragraph" w:customStyle="1" w:styleId="cly">
    <w:name w:val="c_ly"/>
    <w:basedOn w:val="a"/>
    <w:pPr>
      <w:spacing w:before="100" w:beforeAutospacing="1" w:after="100" w:afterAutospacing="1"/>
    </w:pPr>
  </w:style>
  <w:style w:type="paragraph" w:customStyle="1" w:styleId="cfx">
    <w:name w:val="c_fx"/>
    <w:basedOn w:val="a"/>
    <w:pPr>
      <w:spacing w:before="60" w:after="100" w:afterAutospacing="1"/>
    </w:pPr>
  </w:style>
  <w:style w:type="paragraph" w:customStyle="1" w:styleId="backtop">
    <w:name w:val="back_top"/>
    <w:basedOn w:val="a"/>
    <w:pPr>
      <w:spacing w:before="100" w:beforeAutospacing="1" w:after="100" w:afterAutospacing="1"/>
      <w:ind w:left="6672"/>
    </w:pPr>
    <w:rPr>
      <w:vanish/>
    </w:rPr>
  </w:style>
  <w:style w:type="paragraph" w:customStyle="1" w:styleId="lftt">
    <w:name w:val="lf_tt"/>
    <w:basedOn w:val="a"/>
    <w:pPr>
      <w:pBdr>
        <w:bottom w:val="single" w:sz="4" w:space="0" w:color="FFFFFF"/>
      </w:pBdr>
      <w:shd w:val="clear" w:color="auto" w:fill="397FBB"/>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paddt">
    <w:name w:val="padd_t"/>
    <w:basedOn w:val="a"/>
    <w:pPr>
      <w:shd w:val="clear" w:color="auto" w:fill="F88A14"/>
      <w:spacing w:before="100" w:beforeAutospacing="1" w:after="100" w:afterAutospacing="1" w:line="480" w:lineRule="atLeast"/>
    </w:pPr>
    <w:rPr>
      <w:color w:val="FFFFFF"/>
      <w:sz w:val="19"/>
      <w:szCs w:val="19"/>
    </w:rPr>
  </w:style>
  <w:style w:type="paragraph" w:customStyle="1" w:styleId="zw">
    <w:name w:val="zw"/>
    <w:basedOn w:val="a"/>
    <w:pPr>
      <w:spacing w:before="192"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rPr>
      <w:color w:val="666666"/>
    </w:r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8">
    <w:name w:val="jgld_r8"/>
    <w:basedOn w:val="a"/>
    <w:pPr>
      <w:spacing w:before="100" w:beforeAutospacing="1" w:after="100" w:afterAutospacing="1"/>
    </w:pPr>
  </w:style>
  <w:style w:type="paragraph" w:customStyle="1" w:styleId="huic">
    <w:name w:val="huic"/>
    <w:basedOn w:val="a"/>
    <w:pPr>
      <w:shd w:val="clear" w:color="auto" w:fill="F7F7F7"/>
      <w:spacing w:before="120" w:after="100" w:afterAutospacing="1" w:line="276" w:lineRule="atLeast"/>
    </w:pPr>
  </w:style>
  <w:style w:type="paragraph" w:customStyle="1" w:styleId="modtop">
    <w:name w:val="mod_top"/>
    <w:basedOn w:val="a"/>
    <w:pPr>
      <w:spacing w:before="100" w:beforeAutospacing="1" w:after="100" w:afterAutospacing="1"/>
    </w:pPr>
    <w:rPr>
      <w:vanish/>
    </w:rPr>
  </w:style>
  <w:style w:type="paragraph" w:customStyle="1" w:styleId="wgk-right">
    <w:name w:val="wgk-right"/>
    <w:basedOn w:val="a"/>
    <w:pPr>
      <w:spacing w:before="100" w:beforeAutospacing="1" w:after="100" w:afterAutospacing="1"/>
    </w:pPr>
  </w:style>
  <w:style w:type="paragraph" w:customStyle="1" w:styleId="wgk-left">
    <w:name w:val="wgk-left"/>
    <w:basedOn w:val="a"/>
    <w:pPr>
      <w:pBdr>
        <w:right w:val="single" w:sz="4" w:space="0" w:color="EEEEEE"/>
      </w:pBdr>
      <w:spacing w:before="100" w:beforeAutospacing="1" w:after="100" w:afterAutospacing="1"/>
    </w:pPr>
  </w:style>
  <w:style w:type="paragraph" w:customStyle="1" w:styleId="hui">
    <w:name w:val="hui"/>
    <w:basedOn w:val="a"/>
    <w:pPr>
      <w:shd w:val="clear" w:color="auto" w:fill="DDDDDD"/>
      <w:spacing w:before="100" w:beforeAutospacing="1" w:after="100" w:afterAutospacing="1" w:line="480" w:lineRule="atLeast"/>
    </w:pPr>
    <w:rPr>
      <w:color w:val="FFFFFF"/>
      <w:sz w:val="19"/>
      <w:szCs w:val="19"/>
    </w:rPr>
  </w:style>
  <w:style w:type="paragraph" w:customStyle="1" w:styleId="wc1">
    <w:name w:val="w_c1"/>
    <w:basedOn w:val="a"/>
    <w:pPr>
      <w:shd w:val="clear" w:color="auto" w:fill="00965F"/>
      <w:spacing w:before="100" w:beforeAutospacing="1" w:after="100" w:afterAutospacing="1"/>
    </w:pPr>
  </w:style>
  <w:style w:type="paragraph" w:customStyle="1" w:styleId="wc2">
    <w:name w:val="w_c2"/>
    <w:basedOn w:val="a"/>
    <w:pPr>
      <w:shd w:val="clear" w:color="auto" w:fill="E86460"/>
      <w:spacing w:before="100" w:beforeAutospacing="1" w:after="100" w:afterAutospacing="1"/>
    </w:pPr>
  </w:style>
  <w:style w:type="paragraph" w:customStyle="1" w:styleId="wc3">
    <w:name w:val="w_c3"/>
    <w:basedOn w:val="a"/>
    <w:pPr>
      <w:shd w:val="clear" w:color="auto" w:fill="4F94D7"/>
      <w:spacing w:before="100" w:beforeAutospacing="1" w:after="100" w:afterAutospacing="1"/>
    </w:pPr>
  </w:style>
  <w:style w:type="paragraph" w:customStyle="1" w:styleId="wc4">
    <w:name w:val="w_c4"/>
    <w:basedOn w:val="a"/>
    <w:pPr>
      <w:shd w:val="clear" w:color="auto" w:fill="9CAB34"/>
      <w:spacing w:before="100" w:beforeAutospacing="1" w:after="100" w:afterAutospacing="1"/>
    </w:pPr>
  </w:style>
  <w:style w:type="paragraph" w:customStyle="1" w:styleId="wc5">
    <w:name w:val="w_c5"/>
    <w:basedOn w:val="a"/>
    <w:pPr>
      <w:shd w:val="clear" w:color="auto" w:fill="EF7F11"/>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paddtb">
    <w:name w:val="padd_tb"/>
    <w:basedOn w:val="a"/>
    <w:pPr>
      <w:spacing w:before="100" w:beforeAutospacing="1" w:after="100" w:afterAutospacing="1"/>
    </w:pPr>
  </w:style>
  <w:style w:type="paragraph" w:customStyle="1" w:styleId="paddtblr">
    <w:name w:val="padd_tblr"/>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360" w:after="100" w:afterAutospacing="1"/>
    </w:pPr>
  </w:style>
  <w:style w:type="paragraph" w:customStyle="1" w:styleId="mar-t4">
    <w:name w:val="mar-t4"/>
    <w:basedOn w:val="a"/>
    <w:pPr>
      <w:spacing w:before="48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4">
    <w:name w:val="font4"/>
    <w:basedOn w:val="a"/>
    <w:pPr>
      <w:spacing w:before="100" w:beforeAutospacing="1" w:after="100" w:afterAutospacing="1"/>
    </w:pPr>
    <w:rPr>
      <w:sz w:val="17"/>
      <w:szCs w:val="17"/>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008CE3"/>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rPr>
      <w:sz w:val="17"/>
      <w:szCs w:val="17"/>
    </w:rPr>
  </w:style>
  <w:style w:type="paragraph" w:customStyle="1" w:styleId="footerdiv">
    <w:name w:val="footer_div"/>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xxtab">
    <w:name w:val="xxtab"/>
    <w:basedOn w:val="a"/>
    <w:pPr>
      <w:spacing w:before="100" w:beforeAutospacing="1" w:after="100" w:afterAutospacing="1"/>
    </w:pPr>
  </w:style>
  <w:style w:type="paragraph" w:customStyle="1" w:styleId="xxtab2">
    <w:name w:val="xxtab2"/>
    <w:basedOn w:val="a"/>
    <w:pPr>
      <w:spacing w:before="100" w:beforeAutospacing="1" w:after="100" w:afterAutospacing="1"/>
    </w:pPr>
  </w:style>
  <w:style w:type="paragraph" w:customStyle="1" w:styleId="xxtab3">
    <w:name w:val="xxtab3"/>
    <w:basedOn w:val="a"/>
    <w:pPr>
      <w:spacing w:before="100" w:beforeAutospacing="1" w:after="100" w:afterAutospacing="1"/>
    </w:pPr>
  </w:style>
  <w:style w:type="paragraph" w:customStyle="1" w:styleId="xxtab4">
    <w:name w:val="xxtab4"/>
    <w:basedOn w:val="a"/>
    <w:pPr>
      <w:spacing w:before="100" w:beforeAutospacing="1" w:after="100" w:afterAutospacing="1"/>
    </w:pPr>
  </w:style>
  <w:style w:type="paragraph" w:customStyle="1" w:styleId="xxtab5">
    <w:name w:val="xxtab5"/>
    <w:basedOn w:val="a"/>
    <w:pPr>
      <w:spacing w:before="100" w:beforeAutospacing="1" w:after="100" w:afterAutospacing="1"/>
    </w:pPr>
  </w:style>
  <w:style w:type="paragraph" w:customStyle="1" w:styleId="xxtab6">
    <w:name w:val="xxtab6"/>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linow">
    <w:name w:val="linow"/>
    <w:basedOn w:val="a"/>
    <w:pPr>
      <w:shd w:val="clear" w:color="auto" w:fill="0B66AA"/>
      <w:spacing w:before="100" w:beforeAutospacing="1" w:after="100" w:afterAutospacing="1"/>
    </w:pPr>
    <w:rPr>
      <w:color w:val="FFFFFF"/>
    </w:rPr>
  </w:style>
  <w:style w:type="paragraph" w:customStyle="1" w:styleId="czt">
    <w:name w:val="c_zt"/>
    <w:basedOn w:val="a"/>
  </w:style>
  <w:style w:type="paragraph" w:customStyle="1" w:styleId="mar0">
    <w:name w:val="mar0"/>
    <w:basedOn w:val="a"/>
    <w:pPr>
      <w:spacing w:before="100" w:beforeAutospacing="1" w:after="100" w:afterAutospacing="1"/>
    </w:pPr>
  </w:style>
  <w:style w:type="paragraph" w:customStyle="1" w:styleId="footerdiv1">
    <w:name w:val="footer_div1"/>
    <w:basedOn w:val="a"/>
    <w:pPr>
      <w:spacing w:before="100" w:beforeAutospacing="1" w:after="100" w:afterAutospacing="1"/>
    </w:pPr>
    <w:rPr>
      <w:color w:val="FFFFFF"/>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gg1">
    <w:name w:val="gg1"/>
    <w:basedOn w:val="a"/>
    <w:pPr>
      <w:shd w:val="clear" w:color="auto" w:fill="F6F6F6"/>
      <w:spacing w:before="100" w:beforeAutospacing="1" w:after="100" w:afterAutospacing="1" w:line="480" w:lineRule="atLeast"/>
      <w:jc w:val="center"/>
    </w:pPr>
    <w:rPr>
      <w:b/>
      <w:bCs/>
      <w:color w:val="BB1010"/>
      <w:sz w:val="19"/>
      <w:szCs w:val="19"/>
    </w:rPr>
  </w:style>
  <w:style w:type="paragraph" w:customStyle="1" w:styleId="title1">
    <w:name w:val="title1"/>
    <w:basedOn w:val="a"/>
    <w:pPr>
      <w:spacing w:before="100" w:beforeAutospacing="1" w:after="100" w:afterAutospacing="1" w:line="480" w:lineRule="atLeast"/>
    </w:pPr>
    <w:rPr>
      <w:b/>
      <w:bCs/>
    </w:rPr>
  </w:style>
  <w:style w:type="paragraph" w:customStyle="1" w:styleId="xxtab1">
    <w:name w:val="xxtab1"/>
    <w:basedOn w:val="a"/>
    <w:pPr>
      <w:spacing w:before="100" w:beforeAutospacing="1" w:after="100" w:afterAutospacing="1"/>
    </w:pPr>
  </w:style>
  <w:style w:type="paragraph" w:customStyle="1" w:styleId="xxtab21">
    <w:name w:val="xxtab21"/>
    <w:basedOn w:val="a"/>
    <w:pPr>
      <w:spacing w:before="100" w:beforeAutospacing="1" w:after="100" w:afterAutospacing="1"/>
    </w:pPr>
  </w:style>
  <w:style w:type="paragraph" w:customStyle="1" w:styleId="xxtab31">
    <w:name w:val="xxtab31"/>
    <w:basedOn w:val="a"/>
    <w:pPr>
      <w:spacing w:before="100" w:beforeAutospacing="1" w:after="100" w:afterAutospacing="1"/>
    </w:pPr>
  </w:style>
  <w:style w:type="paragraph" w:customStyle="1" w:styleId="xxtab41">
    <w:name w:val="xxtab41"/>
    <w:basedOn w:val="a"/>
    <w:pPr>
      <w:spacing w:before="100" w:beforeAutospacing="1" w:after="100" w:afterAutospacing="1"/>
    </w:pPr>
  </w:style>
  <w:style w:type="paragraph" w:customStyle="1" w:styleId="xxtab51">
    <w:name w:val="xxtab51"/>
    <w:basedOn w:val="a"/>
    <w:pPr>
      <w:spacing w:before="100" w:beforeAutospacing="1" w:after="100" w:afterAutospacing="1"/>
    </w:pPr>
  </w:style>
  <w:style w:type="paragraph" w:customStyle="1" w:styleId="xxtab61">
    <w:name w:val="xxtab61"/>
    <w:basedOn w:val="a"/>
    <w:pPr>
      <w:spacing w:before="100" w:beforeAutospacing="1" w:after="100" w:afterAutospacing="1"/>
    </w:pPr>
  </w:style>
  <w:style w:type="paragraph" w:customStyle="1" w:styleId="bg1">
    <w:name w:val="bg1"/>
    <w:basedOn w:val="a"/>
    <w:pPr>
      <w:shd w:val="clear" w:color="auto" w:fill="F6F6F6"/>
      <w:spacing w:before="100" w:beforeAutospacing="1" w:after="100" w:afterAutospacing="1"/>
    </w:pPr>
    <w:rPr>
      <w:b/>
      <w:bCs/>
      <w:color w:val="008C00"/>
    </w:rPr>
  </w:style>
  <w:style w:type="paragraph" w:customStyle="1" w:styleId="linow1">
    <w:name w:val="linow1"/>
    <w:basedOn w:val="a"/>
    <w:pPr>
      <w:shd w:val="clear" w:color="auto" w:fill="F1F0F0"/>
      <w:spacing w:before="100" w:beforeAutospacing="1" w:after="100" w:afterAutospacing="1"/>
    </w:pPr>
    <w:rPr>
      <w:color w:val="A10000"/>
    </w:rPr>
  </w:style>
  <w:style w:type="paragraph" w:customStyle="1" w:styleId="bgbg">
    <w:name w:val="bgbg"/>
    <w:basedOn w:val="a"/>
    <w:pPr>
      <w:spacing w:before="100" w:beforeAutospacing="1" w:after="100" w:afterAutospacing="1"/>
    </w:pPr>
  </w:style>
  <w:style w:type="paragraph" w:customStyle="1" w:styleId="hbb">
    <w:name w:val="hbb"/>
    <w:basedOn w:val="a"/>
  </w:style>
  <w:style w:type="paragraph" w:customStyle="1" w:styleId="footerdiv2">
    <w:name w:val="footer_div2"/>
    <w:basedOn w:val="a"/>
    <w:pPr>
      <w:spacing w:before="100" w:beforeAutospacing="1" w:after="100" w:afterAutospacing="1"/>
    </w:pPr>
    <w:rPr>
      <w:color w:val="FFFFFF"/>
    </w:r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gg2">
    <w:name w:val="gg2"/>
    <w:basedOn w:val="a"/>
    <w:pPr>
      <w:shd w:val="clear" w:color="auto" w:fill="F6F6F6"/>
      <w:spacing w:before="100" w:beforeAutospacing="1" w:after="100" w:afterAutospacing="1" w:line="480" w:lineRule="atLeast"/>
      <w:jc w:val="center"/>
    </w:pPr>
    <w:rPr>
      <w:b/>
      <w:bCs/>
      <w:color w:val="BB1010"/>
      <w:sz w:val="19"/>
      <w:szCs w:val="19"/>
    </w:rPr>
  </w:style>
  <w:style w:type="paragraph" w:customStyle="1" w:styleId="title2">
    <w:name w:val="title2"/>
    <w:basedOn w:val="a"/>
    <w:pPr>
      <w:spacing w:before="100" w:beforeAutospacing="1" w:after="100" w:afterAutospacing="1" w:line="480" w:lineRule="atLeast"/>
    </w:pPr>
    <w:rPr>
      <w:b/>
      <w:bCs/>
    </w:rPr>
  </w:style>
  <w:style w:type="paragraph" w:customStyle="1" w:styleId="xxtab7">
    <w:name w:val="xxtab7"/>
    <w:basedOn w:val="a"/>
    <w:pPr>
      <w:spacing w:before="100" w:beforeAutospacing="1" w:after="100" w:afterAutospacing="1"/>
    </w:pPr>
  </w:style>
  <w:style w:type="paragraph" w:customStyle="1" w:styleId="xxtab22">
    <w:name w:val="xxtab22"/>
    <w:basedOn w:val="a"/>
    <w:pPr>
      <w:spacing w:before="100" w:beforeAutospacing="1" w:after="100" w:afterAutospacing="1"/>
    </w:pPr>
  </w:style>
  <w:style w:type="paragraph" w:customStyle="1" w:styleId="xxtab32">
    <w:name w:val="xxtab32"/>
    <w:basedOn w:val="a"/>
    <w:pPr>
      <w:spacing w:before="100" w:beforeAutospacing="1" w:after="100" w:afterAutospacing="1"/>
    </w:pPr>
  </w:style>
  <w:style w:type="paragraph" w:customStyle="1" w:styleId="xxtab42">
    <w:name w:val="xxtab42"/>
    <w:basedOn w:val="a"/>
    <w:pPr>
      <w:spacing w:before="100" w:beforeAutospacing="1" w:after="100" w:afterAutospacing="1"/>
    </w:pPr>
  </w:style>
  <w:style w:type="paragraph" w:customStyle="1" w:styleId="xxtab52">
    <w:name w:val="xxtab52"/>
    <w:basedOn w:val="a"/>
    <w:pPr>
      <w:spacing w:before="100" w:beforeAutospacing="1" w:after="100" w:afterAutospacing="1"/>
    </w:pPr>
  </w:style>
  <w:style w:type="paragraph" w:customStyle="1" w:styleId="xxtab62">
    <w:name w:val="xxtab62"/>
    <w:basedOn w:val="a"/>
    <w:pPr>
      <w:spacing w:before="100" w:beforeAutospacing="1" w:after="100" w:afterAutospacing="1"/>
    </w:pPr>
  </w:style>
  <w:style w:type="paragraph" w:customStyle="1" w:styleId="bg2">
    <w:name w:val="bg2"/>
    <w:basedOn w:val="a"/>
    <w:pPr>
      <w:shd w:val="clear" w:color="auto" w:fill="F6F6F6"/>
      <w:spacing w:before="100" w:beforeAutospacing="1" w:after="100" w:afterAutospacing="1"/>
    </w:pPr>
    <w:rPr>
      <w:b/>
      <w:bCs/>
      <w:color w:val="008C00"/>
    </w:rPr>
  </w:style>
  <w:style w:type="paragraph" w:customStyle="1" w:styleId="linow2">
    <w:name w:val="linow2"/>
    <w:basedOn w:val="a"/>
    <w:pPr>
      <w:shd w:val="clear" w:color="auto" w:fill="F1F0F0"/>
      <w:spacing w:before="100" w:beforeAutospacing="1" w:after="100" w:afterAutospacing="1"/>
    </w:pPr>
    <w:rPr>
      <w:color w:val="A10000"/>
    </w:rPr>
  </w:style>
  <w:style w:type="paragraph" w:styleId="a7">
    <w:name w:val="Balloon Text"/>
    <w:basedOn w:val="a"/>
    <w:link w:val="Char"/>
    <w:uiPriority w:val="99"/>
    <w:semiHidden/>
    <w:unhideWhenUsed/>
    <w:rsid w:val="00095928"/>
    <w:rPr>
      <w:sz w:val="18"/>
      <w:szCs w:val="18"/>
    </w:rPr>
  </w:style>
  <w:style w:type="character" w:customStyle="1" w:styleId="Char">
    <w:name w:val="批注框文本 Char"/>
    <w:basedOn w:val="a0"/>
    <w:link w:val="a7"/>
    <w:uiPriority w:val="99"/>
    <w:semiHidden/>
    <w:rsid w:val="0009592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98594219">
      <w:marLeft w:val="0"/>
      <w:marRight w:val="0"/>
      <w:marTop w:val="0"/>
      <w:marBottom w:val="0"/>
      <w:divBdr>
        <w:top w:val="none" w:sz="0" w:space="0" w:color="auto"/>
        <w:left w:val="none" w:sz="0" w:space="0" w:color="auto"/>
        <w:bottom w:val="none" w:sz="0" w:space="0" w:color="auto"/>
        <w:right w:val="none" w:sz="0" w:space="0" w:color="auto"/>
      </w:divBdr>
    </w:div>
    <w:div w:id="1612012364">
      <w:marLeft w:val="0"/>
      <w:marRight w:val="0"/>
      <w:marTop w:val="0"/>
      <w:marBottom w:val="0"/>
      <w:divBdr>
        <w:top w:val="none" w:sz="0" w:space="0" w:color="auto"/>
        <w:left w:val="none" w:sz="0" w:space="0" w:color="auto"/>
        <w:bottom w:val="none" w:sz="0" w:space="0" w:color="auto"/>
        <w:right w:val="none" w:sz="0" w:space="0" w:color="auto"/>
      </w:divBdr>
      <w:divsChild>
        <w:div w:id="407269029">
          <w:marLeft w:val="0"/>
          <w:marRight w:val="0"/>
          <w:marTop w:val="0"/>
          <w:marBottom w:val="0"/>
          <w:divBdr>
            <w:top w:val="none" w:sz="0" w:space="0" w:color="auto"/>
            <w:left w:val="none" w:sz="0" w:space="0" w:color="auto"/>
            <w:bottom w:val="none" w:sz="0" w:space="0" w:color="auto"/>
            <w:right w:val="none" w:sz="0" w:space="0" w:color="auto"/>
          </w:divBdr>
          <w:divsChild>
            <w:div w:id="347372640">
              <w:marLeft w:val="0"/>
              <w:marRight w:val="0"/>
              <w:marTop w:val="0"/>
              <w:marBottom w:val="0"/>
              <w:divBdr>
                <w:top w:val="none" w:sz="0" w:space="0" w:color="auto"/>
                <w:left w:val="none" w:sz="0" w:space="0" w:color="auto"/>
                <w:bottom w:val="none" w:sz="0" w:space="0" w:color="auto"/>
                <w:right w:val="none" w:sz="0" w:space="0" w:color="auto"/>
              </w:divBdr>
              <w:divsChild>
                <w:div w:id="299001540">
                  <w:marLeft w:val="0"/>
                  <w:marRight w:val="0"/>
                  <w:marTop w:val="0"/>
                  <w:marBottom w:val="0"/>
                  <w:divBdr>
                    <w:top w:val="none" w:sz="0" w:space="0" w:color="auto"/>
                    <w:left w:val="none" w:sz="0" w:space="0" w:color="auto"/>
                    <w:bottom w:val="none" w:sz="0" w:space="0" w:color="auto"/>
                    <w:right w:val="none" w:sz="0" w:space="0" w:color="auto"/>
                  </w:divBdr>
                  <w:divsChild>
                    <w:div w:id="740064159">
                      <w:marLeft w:val="0"/>
                      <w:marRight w:val="0"/>
                      <w:marTop w:val="0"/>
                      <w:marBottom w:val="0"/>
                      <w:divBdr>
                        <w:top w:val="none" w:sz="0" w:space="0" w:color="auto"/>
                        <w:left w:val="none" w:sz="0" w:space="0" w:color="auto"/>
                        <w:bottom w:val="none" w:sz="0" w:space="0" w:color="auto"/>
                        <w:right w:val="none" w:sz="0" w:space="0" w:color="auto"/>
                      </w:divBdr>
                    </w:div>
                    <w:div w:id="1652367776">
                      <w:marLeft w:val="0"/>
                      <w:marRight w:val="0"/>
                      <w:marTop w:val="0"/>
                      <w:marBottom w:val="0"/>
                      <w:divBdr>
                        <w:top w:val="none" w:sz="0" w:space="0" w:color="auto"/>
                        <w:left w:val="none" w:sz="0" w:space="0" w:color="auto"/>
                        <w:bottom w:val="none" w:sz="0" w:space="0" w:color="auto"/>
                        <w:right w:val="none" w:sz="0" w:space="0" w:color="auto"/>
                      </w:divBdr>
                      <w:divsChild>
                        <w:div w:id="771362805">
                          <w:marLeft w:val="0"/>
                          <w:marRight w:val="0"/>
                          <w:marTop w:val="100"/>
                          <w:marBottom w:val="100"/>
                          <w:divBdr>
                            <w:top w:val="single" w:sz="4" w:space="3" w:color="CCCCCC"/>
                            <w:left w:val="single" w:sz="4" w:space="0" w:color="CCCCCC"/>
                            <w:bottom w:val="single" w:sz="4" w:space="3" w:color="CCCCCC"/>
                            <w:right w:val="single" w:sz="4" w:space="0" w:color="CCCCCC"/>
                          </w:divBdr>
                        </w:div>
                        <w:div w:id="660235094">
                          <w:marLeft w:val="0"/>
                          <w:marRight w:val="0"/>
                          <w:marTop w:val="0"/>
                          <w:marBottom w:val="0"/>
                          <w:divBdr>
                            <w:top w:val="none" w:sz="0" w:space="0" w:color="auto"/>
                            <w:left w:val="none" w:sz="0" w:space="0" w:color="auto"/>
                            <w:bottom w:val="none" w:sz="0" w:space="0" w:color="auto"/>
                            <w:right w:val="none" w:sz="0" w:space="0" w:color="auto"/>
                          </w:divBdr>
                        </w:div>
                        <w:div w:id="2050182432">
                          <w:marLeft w:val="0"/>
                          <w:marRight w:val="0"/>
                          <w:marTop w:val="0"/>
                          <w:marBottom w:val="0"/>
                          <w:divBdr>
                            <w:top w:val="none" w:sz="0" w:space="0" w:color="auto"/>
                            <w:left w:val="none" w:sz="0" w:space="0" w:color="auto"/>
                            <w:bottom w:val="none" w:sz="0" w:space="0" w:color="auto"/>
                            <w:right w:val="none" w:sz="0" w:space="0" w:color="auto"/>
                          </w:divBdr>
                          <w:divsChild>
                            <w:div w:id="13116438">
                              <w:marLeft w:val="0"/>
                              <w:marRight w:val="0"/>
                              <w:marTop w:val="120"/>
                              <w:marBottom w:val="240"/>
                              <w:divBdr>
                                <w:top w:val="none" w:sz="0" w:space="0" w:color="auto"/>
                                <w:left w:val="none" w:sz="0" w:space="0" w:color="auto"/>
                                <w:bottom w:val="single" w:sz="4" w:space="0" w:color="E5E5E5"/>
                                <w:right w:val="none" w:sz="0" w:space="0" w:color="auto"/>
                              </w:divBdr>
                            </w:div>
                          </w:divsChild>
                        </w:div>
                        <w:div w:id="1874607137">
                          <w:marLeft w:val="0"/>
                          <w:marRight w:val="0"/>
                          <w:marTop w:val="0"/>
                          <w:marBottom w:val="0"/>
                          <w:divBdr>
                            <w:top w:val="none" w:sz="0" w:space="0" w:color="auto"/>
                            <w:left w:val="none" w:sz="0" w:space="0" w:color="auto"/>
                            <w:bottom w:val="none" w:sz="0" w:space="0" w:color="auto"/>
                            <w:right w:val="none" w:sz="0" w:space="0" w:color="auto"/>
                          </w:divBdr>
                        </w:div>
                        <w:div w:id="586235252">
                          <w:marLeft w:val="0"/>
                          <w:marRight w:val="0"/>
                          <w:marTop w:val="100"/>
                          <w:marBottom w:val="100"/>
                          <w:divBdr>
                            <w:top w:val="none" w:sz="0" w:space="0" w:color="auto"/>
                            <w:left w:val="none" w:sz="0" w:space="0" w:color="auto"/>
                            <w:bottom w:val="none" w:sz="0" w:space="0" w:color="auto"/>
                            <w:right w:val="none" w:sz="0" w:space="0" w:color="auto"/>
                          </w:divBdr>
                          <w:divsChild>
                            <w:div w:id="1645113196">
                              <w:marLeft w:val="0"/>
                              <w:marRight w:val="0"/>
                              <w:marTop w:val="0"/>
                              <w:marBottom w:val="0"/>
                              <w:divBdr>
                                <w:top w:val="none" w:sz="0" w:space="0" w:color="auto"/>
                                <w:left w:val="none" w:sz="0" w:space="0" w:color="auto"/>
                                <w:bottom w:val="none" w:sz="0" w:space="0" w:color="auto"/>
                                <w:right w:val="none" w:sz="0" w:space="0" w:color="auto"/>
                              </w:divBdr>
                              <w:divsChild>
                                <w:div w:id="16715620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82277033">
                          <w:marLeft w:val="0"/>
                          <w:marRight w:val="0"/>
                          <w:marTop w:val="0"/>
                          <w:marBottom w:val="0"/>
                          <w:divBdr>
                            <w:top w:val="single" w:sz="4" w:space="0" w:color="E5E5E5"/>
                            <w:left w:val="none" w:sz="0" w:space="0" w:color="auto"/>
                            <w:bottom w:val="none" w:sz="0" w:space="0" w:color="auto"/>
                            <w:right w:val="none" w:sz="0" w:space="0" w:color="auto"/>
                          </w:divBdr>
                          <w:divsChild>
                            <w:div w:id="6853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zwgk.shanwei.gov.cn/default/xhtml/shanwei/images/bg_01.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785</Words>
  <Characters>4478</Characters>
  <Application>Microsoft Office Word</Application>
  <DocSecurity>4</DocSecurity>
  <Lines>37</Lines>
  <Paragraphs>10</Paragraphs>
  <ScaleCrop>false</ScaleCrop>
  <Company>CHINA</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汕尾市人民政府办公室关于印发《汕尾市专利促进工作实施办法》的通知_其他文件_市人民政府办公室</dc:title>
  <dc:subject/>
  <dc:creator>linfan</dc:creator>
  <cp:keywords/>
  <dc:description/>
  <cp:lastModifiedBy>linfan</cp:lastModifiedBy>
  <cp:revision>2</cp:revision>
  <dcterms:created xsi:type="dcterms:W3CDTF">2018-05-22T04:28:00Z</dcterms:created>
  <dcterms:modified xsi:type="dcterms:W3CDTF">2018-05-22T04:28:00Z</dcterms:modified>
</cp:coreProperties>
</file>