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600" w:hRule="atLeast"/>
        </w:trPr>
        <w:tc>
          <w:tcPr>
            <w:tcW w:w="8306" w:type="dxa"/>
            <w:shd w:val="clear" w:color="auto" w:fill="FFFFFF"/>
            <w:tcMar>
              <w:bottom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i w:val="0"/>
                <w:caps w:val="0"/>
                <w:color w:val="C02020"/>
                <w:spacing w:val="0"/>
                <w:sz w:val="32"/>
                <w:szCs w:val="32"/>
              </w:rPr>
            </w:pPr>
            <w:bookmarkStart w:id="0" w:name="_GoBack"/>
            <w:r>
              <w:rPr>
                <w:rFonts w:hint="eastAsia" w:ascii="宋体" w:hAnsi="宋体" w:eastAsia="宋体" w:cs="宋体"/>
                <w:b/>
                <w:i w:val="0"/>
                <w:caps w:val="0"/>
                <w:color w:val="C02020"/>
                <w:spacing w:val="0"/>
                <w:kern w:val="0"/>
                <w:sz w:val="32"/>
                <w:szCs w:val="32"/>
                <w:bdr w:val="none" w:color="auto" w:sz="0" w:space="0"/>
                <w:lang w:val="en-US" w:eastAsia="zh-CN" w:bidi="ar"/>
              </w:rPr>
              <w:t>关于印发争取省政府加快发展先进制造业振兴实体经济若干政策的通知</w:t>
            </w:r>
            <w:bookmarkEnd w:id="0"/>
          </w:p>
        </w:tc>
      </w:tr>
    </w:tbl>
    <w:p>
      <w:pPr>
        <w:rPr>
          <w:vanish/>
          <w:sz w:val="24"/>
          <w:szCs w:val="24"/>
        </w:rPr>
      </w:pPr>
    </w:p>
    <w:tbl>
      <w:tblPr>
        <w:tblW w:w="8306" w:type="dxa"/>
        <w:tblInd w:w="0" w:type="dxa"/>
        <w:shd w:val="clear" w:color="auto" w:fill="F3F3F3"/>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60" w:hRule="atLeast"/>
        </w:trPr>
        <w:tc>
          <w:tcPr>
            <w:tcW w:w="8306" w:type="dxa"/>
            <w:shd w:val="clear" w:color="auto" w:fill="F3F3F3"/>
            <w:vAlign w:val="center"/>
          </w:tcPr>
          <w:p>
            <w:pPr>
              <w:rPr>
                <w:rFonts w:hint="eastAsia" w:ascii="宋体" w:hAnsi="宋体" w:eastAsia="宋体" w:cs="宋体"/>
                <w:i w:val="0"/>
                <w:caps w:val="0"/>
                <w:color w:val="3D3D3D"/>
                <w:spacing w:val="0"/>
                <w:sz w:val="18"/>
                <w:szCs w:val="18"/>
              </w:rPr>
            </w:pPr>
          </w:p>
        </w:tc>
      </w:tr>
    </w:tbl>
    <w:p>
      <w:pPr>
        <w:rPr>
          <w:vanish/>
          <w:sz w:val="24"/>
          <w:szCs w:val="24"/>
        </w:rPr>
      </w:pPr>
    </w:p>
    <w:tbl>
      <w:tblPr>
        <w:tblW w:w="9506" w:type="dxa"/>
        <w:tblInd w:w="0" w:type="dxa"/>
        <w:shd w:val="clear" w:color="auto" w:fill="FFFFFF"/>
        <w:tblLayout w:type="fixed"/>
        <w:tblCellMar>
          <w:top w:w="0" w:type="dxa"/>
          <w:left w:w="0" w:type="dxa"/>
          <w:bottom w:w="0" w:type="dxa"/>
          <w:right w:w="0" w:type="dxa"/>
        </w:tblCellMar>
      </w:tblPr>
      <w:tblGrid>
        <w:gridCol w:w="9506"/>
      </w:tblGrid>
      <w:tr>
        <w:tblPrEx>
          <w:tblLayout w:type="fixed"/>
          <w:tblCellMar>
            <w:top w:w="0" w:type="dxa"/>
            <w:left w:w="0" w:type="dxa"/>
            <w:bottom w:w="0" w:type="dxa"/>
            <w:right w:w="0" w:type="dxa"/>
          </w:tblCellMar>
        </w:tblPrEx>
        <w:trPr>
          <w:trHeight w:val="2116" w:hRule="atLeast"/>
        </w:trPr>
        <w:tc>
          <w:tcPr>
            <w:tcW w:w="9506" w:type="dxa"/>
            <w:shd w:val="clear" w:color="auto" w:fill="FFFFFF"/>
            <w:tcMar>
              <w:top w:w="150" w:type="dxa"/>
              <w:left w:w="600" w:type="dxa"/>
              <w:bottom w:w="300" w:type="dxa"/>
              <w:right w:w="60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各镇人民政府，各街道办事处，县开发区、高新区、九龙口旅游度假区管委会，县各有关部门和单位：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《关于争取省政府加快发展先进制造业振兴实体经济若干政策的方案》已经县长办公会讨论通过，现印发给你们。希认真贯彻落实。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特此通知。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建湖县人民政府办公室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2017年5月17日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关于争取省政府加快发展先进制造业振兴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实体经济若干政策的方案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近期，省政府出台《关于加快发展先进制造业振兴实体经济若干政策措施的意见》（苏政发〔2017〕25号），为积极争取相关政策，推动我县产业转型升级，企业培大培强，现制定如下工作方案。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一、任务分解（七类22项）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（一）引导企业加快制造模式创新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1．推进智能制造建设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政策内容：对省级优秀示范智能车间给予50-150万元奖励。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落实措施：深入实施企业制造装备升级计划，鼓励企业建设示范智能车间、工厂，年内申报省级优秀示范智能车间1-2家；每年组织2-3家企业参加世界智能制造大会、世界物联网博览会，推动智能制造供需对接。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2．提升互联网化水平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对企业研发设计协同化、生产管控集成化、购销经营平台化、制造服务网络化等重点环节提升项目，按投资额或固定资产贷款额给予不超过1000万元补助或贴息支持。支持企业探索网络型组织、柔性管理、绿色管理等基于互联网的经营管理新模式，培育互联网创新示范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落实措施：年内培育省级互联网创新示范企业1-2家，争取获省补助或贴息支持项目1-2个。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3．发展服务型制造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政策内容：全省支持培育300个服务型制造示范企业和实施300个带动性强的示范项目。对省级以上服务型制造示范企业，省级相关专项给予50万元奖励。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推动县内重点制造企业结合产品特点、企业实际和行业特征，加大服务环节投入，在研发、设计、物流、营销、品牌推广、系统集成等方面形成一批重点项目，全年培育省级服务型制造和示范企业1-2家、省级工业设计中心2-3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（二）支持企业增强核心竞争优势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4．加快创新平台建设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政策内容：支持和鼓励企业建设高水平的企业技术中心、工程（技术）研究中心、重点实验室等研发机构，对承担相关平台建设任务的，可在省级相关专项中给予不超过3000万元支持。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责任单位：发改委、经信委、科技局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落实措施：年内培育省级工程（技术）研究中心2-3家，力争培育国家级工程（技术）研究中心1家。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5．推动重大技术攻关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政策内容：每年发布共性关键技术、重大成套装备、工业强基、重点产品质量攻关导向目录，面向社会招标，省级相关专项对中标单位给予不超过1000万元支持。根据相关部门提供的企业研发投入情况，省级财政给予5%-10%的普惠性奖励，对获得授权的高质量发明专利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责任单位：科技局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落实措施：每年争取1家以上企业中标省导向目录，获省级财政研发投入普惠性奖励，1家获省质量发明专利奖励。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6．加快创新成果转化应用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发布《省重点推广应用的新技术新产品目录》并纳入政府采购品目范围，鼓励同等条件下优先采购，省级相关专项对新技术新产品（首台套）示范应用项目给予补助。深入实施军民融合工程，加快重点项目产业化进程，省级相关专项给予一定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责任单位：发改委、经信委、科技局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支持企业申报省级新技术新产品（首台套），年培育省级新技术新产品（首台套）示范项目3-5家（经信委）。建设“高价值专利培育示范中心”1家（科技局），年内争取实施军民融合补助工程1家。（发改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7．加强质量和技术标准建设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对主导制（修）订国际标准、国家标准的单位，省级相关专项分别给予100万元、50万元奖励。对获得中国工业大奖和中国质量奖、中国质量奖提名奖和全国质量奖、江苏省质量奖的单位，省级相关专项分别给予300万元、200万元、100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责任单位：市场监管局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落实措施：年内帮助企业主导或参与制（修）订国家或行业标准1个。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8．开展品牌创建活动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实施商标品牌战略三年行动计划，推进“三品”专项行动，培育更多百年老店。支持建立江苏品牌产品全球营销网络平台，深入开展江苏品牌产品万里行、“一带一路”展销及自主工业品牌50强宣传推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责任单位：市场监管局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落实措施：力争3年内培育中国驰名商标1-2件，每年培育省著名商标2件、省名牌产品1个、市知名商标5件以上，每年新申请商标注册300件以上。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（三）鼓励企业对标定位做优做强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9．培育行业单项冠军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实施单项冠军企业培育提升计划，建立专精特新小巨人企业培育库和咨询诊断平台，每年认定一批专精特新产品和小巨人企业。对国家认定的单项冠军示范企业，省级相关专项给予不超过100万元奖励。在政府采购和各项工程招标中，对单项冠军示范企业产品可给予适当技术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落实措施：每年新认定省级专精特新产品和小巨人企业1-2个。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10．支持企业国际化发展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政策内容：对收购国外研发机构的企业，省级相关专项按收购合同金额的5%给予最高不超过500万元的一次性奖励。扩大中长期出口信用保险覆盖面，对大型成套设备出口融资项目应保尽保。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责任单位：商务局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落实措施：力争3年内收购国外研发机构1-2家。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（四）推动产业高端攀升优化发展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11．鼓励发展中高端制造业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支持改造提升优势传统产业，切实发挥工业企业技术改造综合奖补政策导向作用，“十三五”期间省级财政专项安排20亿元，引导企业加大投入加快改造升级。每年重点实施100个优势传统产业技术改造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落实措施：每年争取省级技改补助项目2-3个，补助金额不少于500万元。每年重点实施不少于20个投资超千万元的技术改造项目，力争1-2个优势特色产业项目纳入省级计划。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12．加快发展现代生产服务业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符合条件的研发设计、检验检测认证、节能环保等科技型、创新型生产性服务业企业和事业单位，可申请认定为高新技术企业，享受15%的企业所得税优惠税率。符合条件的生产性服务业重点领域企业，可在水电气等方面享受与工业企业同城同价政策，可申请参与电力用户与发电企业直接交易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责任单位：科技局、经信委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落实措施：3年内争取2-3家生产性服务业企业申请认定为高新技术企业，1家参与电力用户与发电企业直接交易。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13．培育发展重点特色产业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建立全产业链合作共赢生态体系，打造20个左右现代特色产业集群。制定特色产业发展水平评价体系，指导各市编制年度实施方案，评估择优切块安排不超过1亿元的专项资金给予重点支持。深入开展新型工业化产业示范基地创建活动，被国家认定为“中国制造2025”卓越提升试点示范基地的给予100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责任单位：科技局、经信委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落实措施：全力打造新能源汽车、通用航空两大战略性新兴产业，争创省级现代特色产业集群。年内石油装备产业争创国家级新型工业化示范基地，节能电光源产业争创江苏省新型工业化示范基地。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（五）推进产业绿色低碳循环发展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14．促进工业能效提升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支持创建国家和省级能效“领跑者”企业，对实施节能技术改造重点项目成效明显的，省级相关专项给予不超过500万元奖补。推广节能环保服务政府采购，实施节能环保产品政府强制采购和优先采购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落实措施：每年争取省级节能（循环经济）专项3-4个，参与节能量交易试点项目1个，纳入节能环保产品强制和优先采购目录产品2-3个。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15．强化工业污染防治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实施一批工业清洁生产改造重点项目，支持创建绿色工厂、绿色供应链。大力化解过剩产能、淘汰落后产能，在规定期限内拆除相关设备、生产线并经考核验收合格的企业，省级相关专项按标准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责任单位：经信委、环保局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落实措施：完成省下达的淘汰落后产能任务。年内力争通过清洁生产审核企业3-5家，实施重点清洁生产改造项目2-3个，创建绿色工厂和绿色供应链企业1-2家。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16．发展工业循环经济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推进工业园区实施循环化改造，培育绿色工业示范园区。推动工业固体废物资源综合利用和可再生资源回收利用，开展电器电子产品生产者责任延伸试点，发展再制造产业，对取得明显成效的企业授予示范标杆企业并给予奖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责任单位：发改委、经信委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落实措施：开发区争创省级循环化改造示范试点园区（发改委），培育再制造示范企业1-2家、重点项目2-3个（经信委）。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（六）优化产业发展要素资源配置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17．促进工业高效用地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灵活选择长期租赁、租让结合、先租后让和弹性出让等方式供应工业用地。对中小微企业高标准厂房租赁费用给予奖补。在符合相关规划的前提下，经县政府批准，利用现有房屋和土地兴办“互联网+制造业”等新业态的，可实行继续按原用途和土地权利类型使用土地的过渡期政策，过渡期为5年。过渡期满后需按新用途办理用地手续，符合划拨用地目录的，可以划拨方式供地。对符合规划、不改变用途的现有工业用地，鼓励通过厂房加层、老厂改造、内部整理等途径提高土地利用率和增加容积率，不再增收土地价款。对列入省重大项目的先进制造业项目建设用地给予倾斜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责任单位：国土局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优化调整现有生产工艺布局，引导工业项目用地优先利用存量建设用地，建设使用高标准厂房。鼓励利用现有房屋和土地兴办“互联网+制造业”等新业态。鼓励对现有工业用地追加投资、转型改造，合理利用地上地下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18．加大财税支持力度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政策内容：每年专项资金预算安排适当增加额度，进一步优化整合现有省级相关专项资金，加大对先进制造业重大项目的支持力度。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责任单位：财政局、国税局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落实好国家研发费用加计扣除、增值税抵扣和高新技术企业、资源综合利用、小微企业等相关税收优惠支持政策。充分发挥江苏工业和信息产业投资基金、新兴产业创业投资引导基金、科技成果转化投资基金、“一带一路”投资基金等政府投资基金作用，引导社会资本投入先进制造业重点领域和关键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19．鼓励企业多元化融资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鼓励银行业机构增加对制造业的信贷投放，逐步提高制造业贷款占全部贷款比例。适当提高制造业中小微企业不良贷款容忍度，并实行单独考核。鼓励有条件的地区建立风险补偿机制，推动保险机构开展制造业贷款保证保险业务。支持市县政府出资设立公益性中小企业转贷平台，充实省级融资担保代偿补偿资金，缓解中小微制造企业融资难题。继续探索完善外部“投贷联动”业务发展模式，提升科创企业信贷和“小微创业贷”投放规模。支持企业境内外上市，发行企业债、公司债、短期融资券、中期票据等各类债券，支持符合条件的企业通过贷款、发行债券等从境外融资。发展创投、天使等股权投资基金，推动专精特新小巨人企业在中小板、创业板、全国中小企业股份转让系统和省股权交易中心上市挂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责任单位：金融办、财政局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引导银行机构落实各级金融政策，加大支持实体企业力度，2017年，表内新增贷款不低于40亿元，表外新增贷款不低于18亿元；新增工业贷款20亿元，工业贷款占比不低于贷款总额的30%。对重点风险企业，鼓励银行机构建立债权人委员会，重点防范企业资金链、担保链潜在风险，提高企业不良贷款容忍度，积极有效处置各类问题。推进政银保合作，扩大涉农保证保险试点，探索设立小微企业保证保险贷款。创新小微企业转贷方式，推动银行在贷款保证措施不变、企业按期偿还利息和部分本金的基础上直接转贷。新设县小微企业转贷服务公司。加大与省再担保公司合作力度，积极争取权信担保、省信用担保建湖分公司纳入全省30家融资担保风险分担试点担保机构。创新金融产品，鼓励农发行、建行、江苏银行、华夏银行等银行机构开展投贷联动试点业务。继续拓展“苏科贷”“苏微贷”规模，提高申报审批的成功率，力争撬动信贷规模超5亿元，其中苏科贷融资总额超1亿元。积极引进风投、创投等股权投资基金，加快推进企业在主板、中小板、创业板、“新三板”上市，以及在区域股权交易中心挂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20．培育产业急需紧缺人才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依托千人计划、双创计划、外专百人计划、333工程等引才聚才载体平台，吸引一批世界水平的科学家、科技领军人才、能够突破关键技术的项目负责人和创新团队来江苏创新创业，注重选拔制造业领域享受政府特殊津贴专家和江苏省有突出贡献中青年专家。对引进的高层次人才，给予股权激励和项目资金等优惠支持，提供优质高效的生活服务，妥善帮助解决住房、医疗、子女教育等方面的问题。探索“人才+技术+项目”战略合作新模式。实施产业技能大师培育计划，制定高技能人才和工程技术人才职业发展贯通办法，培养造就先进制造业技能大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责任单位：人才办、经信委、人社局、科技局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1）支持企业引进高水平科技领军人才申报国家“千人计划”、省“双创计划”、“333工程”等人才项目，年内力争帮助企业成功申报省“双创人才”等项目3个以上，争取上级资助资金150万元以上。（2）及时兑现《“515”建湖人才引进三年行动计划》中各项配套补助、资助资金，为引进的领军人才、专门人才、大学生提供优质高效的工作和生活服务。（3）深入推进招商引资与招才引智“双招双引”工程，发挥好省科技镇长团和在沪、在穗高层次人才联合会及海外引才工作站等作用，将招商视野拓展到高校院所，开展有针对性的校地互访活动，年内以“人才+技术+项目”方式引进高端人才来湖创业12名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（七）提升实体经济发展服务效能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21．营造公平竞争环境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深化“放管服”改革，清理规范涉审中介，实现省级部门对国家鼓励类、允许类制造企业投资项目“不再审批”。外商投资企业和内资企业同等适用支持先进制造业发展的政策措施。推进政务服务“一张网”建设，实现部门数据互联共享，推动政务服务信息向社会开放。推进盐城市、宿迁市、盱眙县、南京市江宁区“零土地”技术改造项目承诺验收制度试行工作并在全省推广。加强企业法治、信用与社会责任建设，对信用度高的企业减少相关抽查频次，每年评选一批依法管理、诚信经营、履行社会责任的先进企业和优秀企业家，对先进企业在工程招投标、重点项目、融资服务等方面给予加分和倾斜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责任单位：政务办、发改委、经信委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做好涉审中介机构全部进入“盐城市行政审批中介服务网上超市”全闭环运行，实行中介服务事项申请、业务对接、结果反馈、监管全程网络化。按照全省统一部署要求，做好县级平台建设层面各项任务，加快建成并规范运行线上线下贯通、互相联通的政务服务“一张网”，实现部门数据互联共享。同时，在全县范围各领域广泛宣传使用“一张网”。加强企业法治、信用与社会责任建设，通过“一网两库”定期发布我县企业信用信息，对企业在商务活动、政务活动中的失信行为，通过“失信黑榜”进行公示。通过建立公益性的数据库和网站，对公共信用信息进行归集和有序发布，实现行政机关信息的交换和共享，为社会管理提供公共信息查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22．降低企业运营成本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政策内容：贯彻落实省政府关于降低实体经济企业成本的文件精神，进一步降低融资成本、制度性交易成本、用电物流成本等，确保每年降低企业成本1000亿元以上。放宽直购电参与范围，有序缩减发用电计划，扩大市场交易电量比例。有序开展售电侧改革试点，利用市场竞争降低企业用电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责任单位：政务办、发改委、经信委、金融办、供电公司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落实措施：全面落实省政府关于降低实体经济企业成本意见，进一步降低企业融资成本、制度性交易成本、用电物流成本等。依托市数字化“多图联审”平台，对全县所有新建、改建、扩建工程项目的规划设计图、建筑施工图、消防施工图、人防专项施工图、防雷电装置施工图等多图，压缩联审时限。做好企业直购电交易，按月做好直购电用户直接交易电量的核对和结算工作，确保企业直购电计划足额完成，直购电价格执行到位，有效降低企业用电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二、具体措施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加大宣传力度。各相关责任部门对加快发展先进制造业振兴实体经济若干政策措施，通过报纸、电视、微信等多种渠道，加大宣传力度，提高广大企业政策知晓率，熟悉申报流程，并根据责任分工，组织向上争取各类资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严格申报流程。各相关责任部门要进一步健全完善申报项目库，建立联席会议和沟通联系机制，全面规范申报项目推荐程序，科学公正地组织本部门的项目申报工作。县纪检监察机构要全程参与，对项目组织申报全过程实施监察监督，确保项目推荐程序的公正性和操作过程规范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3．强化督查考核。全县工业振兴领导小组办公室要对具体责任部门争取资金项目情况，实行月督查、季通报、年度考核。县督查办定期对相关部门任务完成情况和争取项目进展情况进行督查并通报，切实推动我县实体经济加快转型发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12C0DDB"/>
    <w:rsid w:val="17CA0CD8"/>
    <w:rsid w:val="1A8F5C1D"/>
    <w:rsid w:val="213B78C6"/>
    <w:rsid w:val="24844F8E"/>
    <w:rsid w:val="2BF06129"/>
    <w:rsid w:val="2F305224"/>
    <w:rsid w:val="30481606"/>
    <w:rsid w:val="31133E7D"/>
    <w:rsid w:val="319C3E9E"/>
    <w:rsid w:val="389F5938"/>
    <w:rsid w:val="38DE54C9"/>
    <w:rsid w:val="44522CB0"/>
    <w:rsid w:val="47353CEF"/>
    <w:rsid w:val="49D47A55"/>
    <w:rsid w:val="4D1472B9"/>
    <w:rsid w:val="4F7E3B36"/>
    <w:rsid w:val="541147C5"/>
    <w:rsid w:val="58B253C0"/>
    <w:rsid w:val="5ACF36D4"/>
    <w:rsid w:val="5BB45E47"/>
    <w:rsid w:val="5E184EF7"/>
    <w:rsid w:val="5E492EC9"/>
    <w:rsid w:val="60A51D0E"/>
    <w:rsid w:val="6155254D"/>
    <w:rsid w:val="6B1F541A"/>
    <w:rsid w:val="6B5C0F65"/>
    <w:rsid w:val="6D535020"/>
    <w:rsid w:val="6EA45962"/>
    <w:rsid w:val="6EF32C78"/>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2018-06-10T15:14:23Z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