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eastAsia" w:ascii="微软雅黑" w:hAnsi="微软雅黑" w:eastAsia="微软雅黑" w:cs="微软雅黑"/>
          <w:i w:val="0"/>
          <w:caps w:val="0"/>
          <w:color w:val="333333"/>
          <w:spacing w:val="0"/>
          <w:sz w:val="21"/>
          <w:szCs w:val="21"/>
        </w:rPr>
      </w:pPr>
      <w:bookmarkStart w:id="0" w:name="_GoBack"/>
      <w:r>
        <w:rPr>
          <w:rFonts w:ascii="方正小标宋简体" w:hAnsi="方正小标宋简体" w:eastAsia="方正小标宋简体" w:cs="方正小标宋简体"/>
          <w:i w:val="0"/>
          <w:caps w:val="0"/>
          <w:color w:val="333333"/>
          <w:spacing w:val="0"/>
          <w:kern w:val="0"/>
          <w:sz w:val="44"/>
          <w:szCs w:val="44"/>
          <w:bdr w:val="none" w:color="auto" w:sz="0" w:space="0"/>
          <w:shd w:val="clear" w:fill="FFFFFF"/>
          <w:vertAlign w:val="baseline"/>
          <w:lang w:val="en-US" w:eastAsia="zh-CN" w:bidi="ar"/>
        </w:rPr>
        <w:t>关于扶持激励重点和成长型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vertAlign w:val="baseline"/>
          <w:lang w:val="en-US" w:eastAsia="zh-CN" w:bidi="ar"/>
        </w:rPr>
        <w:t>工业企业加快发展的意见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36"/>
          <w:szCs w:val="36"/>
          <w:bdr w:val="none" w:color="auto" w:sz="0" w:space="0"/>
          <w:shd w:val="clear" w:fill="FFFFFF"/>
          <w:vertAlign w:val="baseline"/>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eastAsia" w:ascii="微软雅黑" w:hAnsi="微软雅黑" w:eastAsia="微软雅黑" w:cs="微软雅黑"/>
          <w:i w:val="0"/>
          <w:caps w:val="0"/>
          <w:color w:val="333333"/>
          <w:spacing w:val="0"/>
          <w:sz w:val="21"/>
          <w:szCs w:val="21"/>
        </w:rPr>
      </w:pPr>
      <w:r>
        <w:rPr>
          <w:rFonts w:ascii="仿宋_GB2312" w:hAnsi="微软雅黑" w:eastAsia="仿宋_GB2312" w:cs="仿宋_GB2312"/>
          <w:i w:val="0"/>
          <w:caps w:val="0"/>
          <w:color w:val="333333"/>
          <w:spacing w:val="0"/>
          <w:sz w:val="36"/>
          <w:szCs w:val="36"/>
          <w:bdr w:val="none" w:color="auto" w:sz="0" w:space="0"/>
          <w:shd w:val="clear" w:fill="FFFFFF"/>
          <w:vertAlign w:val="baseline"/>
        </w:rPr>
        <w:t>（</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Times New Roman" w:hAnsi="Times New Roman" w:eastAsia="微软雅黑" w:cs="Times New Roman"/>
          <w:i w:val="0"/>
          <w:caps w:val="0"/>
          <w:color w:val="333333"/>
          <w:spacing w:val="0"/>
          <w:sz w:val="36"/>
          <w:szCs w:val="36"/>
          <w:bdr w:val="none" w:color="auto" w:sz="0" w:space="0"/>
          <w:shd w:val="clear" w:fill="FFFFFF"/>
          <w:vertAlign w:val="baseline"/>
          <w:lang w:val="en-US"/>
        </w:rPr>
        <w:t>2012</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仿宋_GB2312" w:hAnsi="微软雅黑" w:eastAsia="仿宋_GB2312" w:cs="仿宋_GB2312"/>
          <w:i w:val="0"/>
          <w:caps w:val="0"/>
          <w:color w:val="333333"/>
          <w:spacing w:val="0"/>
          <w:sz w:val="36"/>
          <w:szCs w:val="36"/>
          <w:bdr w:val="none" w:color="auto" w:sz="0" w:space="0"/>
          <w:shd w:val="clear" w:fill="FFFFFF"/>
          <w:vertAlign w:val="baseline"/>
        </w:rPr>
        <w:t>年</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Times New Roman" w:hAnsi="Times New Roman" w:eastAsia="微软雅黑" w:cs="Times New Roman"/>
          <w:i w:val="0"/>
          <w:caps w:val="0"/>
          <w:color w:val="333333"/>
          <w:spacing w:val="0"/>
          <w:sz w:val="36"/>
          <w:szCs w:val="36"/>
          <w:bdr w:val="none" w:color="auto" w:sz="0" w:space="0"/>
          <w:shd w:val="clear" w:fill="FFFFFF"/>
          <w:vertAlign w:val="baseline"/>
          <w:lang w:val="en-US"/>
        </w:rPr>
        <w:t>3</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仿宋_GB2312" w:hAnsi="微软雅黑" w:eastAsia="仿宋_GB2312" w:cs="仿宋_GB2312"/>
          <w:i w:val="0"/>
          <w:caps w:val="0"/>
          <w:color w:val="333333"/>
          <w:spacing w:val="0"/>
          <w:sz w:val="36"/>
          <w:szCs w:val="36"/>
          <w:bdr w:val="none" w:color="auto" w:sz="0" w:space="0"/>
          <w:shd w:val="clear" w:fill="FFFFFF"/>
          <w:vertAlign w:val="baseline"/>
        </w:rPr>
        <w:t>月</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Times New Roman" w:hAnsi="Times New Roman" w:eastAsia="微软雅黑" w:cs="Times New Roman"/>
          <w:i w:val="0"/>
          <w:caps w:val="0"/>
          <w:color w:val="333333"/>
          <w:spacing w:val="0"/>
          <w:sz w:val="36"/>
          <w:szCs w:val="36"/>
          <w:bdr w:val="none" w:color="auto" w:sz="0" w:space="0"/>
          <w:shd w:val="clear" w:fill="FFFFFF"/>
          <w:vertAlign w:val="baseline"/>
          <w:lang w:val="en-US"/>
        </w:rPr>
        <w:t>1</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仿宋_GB2312" w:hAnsi="微软雅黑" w:eastAsia="仿宋_GB2312" w:cs="仿宋_GB2312"/>
          <w:i w:val="0"/>
          <w:caps w:val="0"/>
          <w:color w:val="333333"/>
          <w:spacing w:val="0"/>
          <w:sz w:val="36"/>
          <w:szCs w:val="36"/>
          <w:bdr w:val="none" w:color="auto" w:sz="0" w:space="0"/>
          <w:shd w:val="clear" w:fill="FFFFFF"/>
          <w:vertAlign w:val="baseline"/>
        </w:rPr>
        <w:t>日</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仿宋_GB2312" w:hAnsi="微软雅黑" w:eastAsia="仿宋_GB2312" w:cs="仿宋_GB2312"/>
          <w:i w:val="0"/>
          <w:caps w:val="0"/>
          <w:color w:val="333333"/>
          <w:spacing w:val="0"/>
          <w:sz w:val="36"/>
          <w:szCs w:val="36"/>
          <w:bdr w:val="none" w:color="auto" w:sz="0" w:space="0"/>
          <w:shd w:val="clear" w:fill="FFFFFF"/>
          <w:vertAlign w:val="baseline"/>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为认真贯彻市委、市政府《关于实施开放创新双轮驱动战略推进经济转型升级的若干政策》（泰发〔</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号）（以下简称《双轮驱动政策》）及《关于印发泰州市实施开放创新双轮驱动战略推进经济转型升级的若干政策实施细则（试行）的通知》（泰政办发〔</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2011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89</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号）（以下简称《双轮驱动细则》），加大对区重点和成长型工业企业扶持力度，激励企业加快转变经济发展方式，实现做大做强，促进全区工业经济又好又快发展，现就扶持激励重点和成长型工业企业（以下简称企业）加快发展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一、扶持奖励对象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重点和成长型工业企业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二、扶持奖励意见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第一条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全面贯彻实施市委、市政府《双轮驱动政策》及《双轮驱动细则》扶持奖励政策。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第二条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入库税金上台阶奖</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，按当年入库税金首次达到</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万元的企业，给予企业经营层一次性奖励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万元。当年入库税金首次达到</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万元即以上的企业，达到市委、市政府《双轮驱动政策》档次的，按档次扶持奖励标准予以奖励。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第三条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企业实现年度发展目标，对企业缴纳的增值税、所得税，有基数的以上年度实缴数为基数，新办企业及享受政策期满的外资企业，以第一个整年度实缴数为基数，年度实际缴纳税金超出规定增幅</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重点企业</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、成长型企业</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的部分，区级财政地方留成部分全额奖励给企业。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第四条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开票销售收入上台阶奖</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。企业当年开票销售收入首次达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亿元、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亿元、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亿元、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亿元、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亿元、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亿元以上的，给予经营层一次性奖励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第五条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增幅奖</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。企业当年入库税金或年开票销售收入增幅达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的，给予经营层一次性奖励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万元；对企业当年入库税金或年开票销售收入增幅达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以上的，给予经营层一次性奖励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第六条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设立技术改造专项资金。在专项资金额度范围内，企业实施符合国家产业政策的技术改造项目，经投资主管部门备案（核准），设备投资额达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万元以上（含</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万元（含</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万元（含</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万元），经投资主管部门竣工验收后，分别给予设备投资额的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6%</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4%</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一次性补助。设备投资额在</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万元（含</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万元）以上的重点技术改造项目，且项目建设在一年内竣工投产的，另行给予企业经营者及相关人员</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万元一次性奖励。对企业实施亿元以上重大技术改造项目，其中设备投资额占比达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60%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以上，项目竣工投产后，给予企业经营者及相关人员</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万元一次性奖励。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第七条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对与全球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强、世界行业前</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强企业进行高端合作，实现高位嫁接的企业，经评估认定，给予一次性奖励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万元；对与央企、国内行业前</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强企业进行嫁接重组合作，经评估认定，给予一次性奖励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10-30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万元。企业在兼并、收购等资产重组过程中，产权登记等区级征收的相关规费予以减免。嫁接重组后的新企业视同新招引项目实行一企一策给予奖励扶持。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第八条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对首次获得中国名牌、国家驰名商标的企业，分别一次性奖励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万元；对新获得中华</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老字号</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称号的企业，一次性奖励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万元；对首次获得省级名牌、著名商标的企业，分别奖励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第九条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对获得区长质量奖的企业，一次性奖励企业</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对主持制订国际标准、国家标准、行业标准的企业，分别一次性奖励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万元；对参与制订国际标准、国家标准、行业标准的企业，分别一次性奖励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万元；对首次获得</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AAAA</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AAA</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级国家标准化良好行为企业的，分别一次性奖励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第十一条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对首次被评为国家、省级环境友好企业和首次获得市级环境行为绿色等级的，分别给予企业</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第十二条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鼓励企业实施</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ERP</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OA</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等管理信息化项目，竣工项目经考核验收合格，按项目实际投资额的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第十三条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设立区节能专项资金。对企业实施节能</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吨标煤项目的，经节能部门审核后，按每吨</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元进行奖励；对淘汰高耗能落后用能设备，投资额</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10-100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万元的项目，经节能部门审核后，按投资额的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给予一次性奖励；对年耗标煤</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吨以上的实施能源审计的企业，给予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万元审计费用补贴；对通过自愿清洁生产验收合格的企业给予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第十四条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对在中国证监会江苏监管局备案进入上市辅导期或与境外保荐机构正式签约启动境外上市程序的拟上市公司，上市过程中发生的审计费、律师费、</w:t>
      </w:r>
      <w:r>
        <w:rPr>
          <w:rFonts w:hint="eastAsia" w:ascii="宋体" w:hAnsi="宋体" w:eastAsia="宋体" w:cs="宋体"/>
          <w:i w:val="0"/>
          <w:caps w:val="0"/>
          <w:color w:val="333333"/>
          <w:spacing w:val="0"/>
          <w:kern w:val="0"/>
          <w:sz w:val="36"/>
          <w:szCs w:val="36"/>
          <w:bdr w:val="none" w:color="auto" w:sz="0" w:space="0"/>
          <w:shd w:val="clear" w:fill="FFFFFF"/>
          <w:vertAlign w:val="baseline"/>
          <w:lang w:val="en-US" w:eastAsia="zh-CN" w:bidi="ar"/>
        </w:rPr>
        <w:t>劵</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商辅导费等费用，一次性给予不超过</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40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万元的补助；企业上市后，再奖励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第十五条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eastAsia" w:ascii="微软雅黑" w:hAnsi="微软雅黑" w:eastAsia="微软雅黑" w:cs="微软雅黑"/>
          <w:b/>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企业参加国家、省、市、区组织的展销会、博览会、洽谈会等，在中央、省、市对摊位费补贴的基础上，对未予弥补的摊位费予以补助，补助金额不超过每标准展位</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万元（特装展位视同标准展位）。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第十六条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对企业资金需求，政府组织银企对接，搭建融资平台，符合条件的企业，由海诚担保公司提供担保服务，担保费用享受担保公司股东待遇。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三、组织领导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（一）区工业经济发展领导小组定期召开培大育强工业企业发展情况联席会议，研究解决企业发展过程中的重大矛盾和问题；检查</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重点和成长型工业</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企业年度发展目标完成情况；审定调整扶持奖励对象。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（二）设立区工业发展专项资金。凡属于区财政安排的地方留成部分奖励、技改贴息奖励、上台阶奖励等奖励扶持资金，均纳入工业发展专项资金，重点用于扶持培植</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重点企业和成长型</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三）扶持奖励考评工作由工业经济领导小组办公室牵头，经信、科技、财政、统计、审计、安监、税务、监察等部门参加。每年根据企业年度发展目标责任书及相关部门提供的数据实施审计考评，对实现年度发展目标的企业，由考评领导小组提请区委、区政府批准享受相关扶持奖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四、其它事项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一）企业有重大违法、违纪行为，当年发生一般安全责任事故或企业环境行为等级蓝色以下的（不含蓝色），不按规定全额缴纳各项税费、政府性基金，以及不履行应尽法定义务不承担应负社会责任的，不享受扶持奖励政策。企业负责人有重大违法、违纪行为，取消其个人奖励。凡因弄虚作假套取政府扶持政策奖励的，一经查实，给予通报批评，并追回所取得的奖励扶持资金，取消相关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（二）对</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重点和成长型工业</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企业实行动态管理，适时根据企业的业绩作适当调整。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（三）各项扶持奖励政策，按照</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谁收益，谁扶持、谁奖励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的原则组织兑现，按现行财政体制，区属企业扶持奖励费用由区财政解决，乡镇、街道、园区企业扶持奖励费用由所属乡镇、街道、园区财政解决</w:t>
      </w:r>
      <w:r>
        <w:rPr>
          <w:rFonts w:hint="eastAsia" w:ascii="微软雅黑" w:hAnsi="微软雅黑" w:eastAsia="微软雅黑" w:cs="微软雅黑"/>
          <w:b/>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其中：乡镇、街道、园区企业技改项目贴息费用由区财政和相关乡镇、街道、园区各承担</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。各项扶持奖励政策的兑现，凡属于乡镇、街道、园区负担的费用，均由区财政从所属乡镇、街道、园区财力中划转集中，由区政府统一扎口结算兑现。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（四）</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入库税金上台阶奖</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开票销售收入上台阶奖</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及</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增幅奖</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在同一年度不重复享受，同时获奖的就高进行奖励。凡奖励给企业经营层的，原则上企业法人代表得奖金的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，其余经营层得奖金的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（五）除奖励给企业经营层的奖金外，其余扶持奖励资金，一律实行财政专户储存，专项用于企业技改投入、扩大再生产。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对招商引资中，已协商确定相关优惠政策的，原则上不得重复享受本政策（其他项目如有重复符合奖励条件的，本着就高不就低的原则，以高限奖励兑现）。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本意见中的扶持奖励政策和市</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双轮驱动</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政策有重复的，采取就高原则，不得重复享受。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本意见中的扶持奖励政策，涉及市区财政负担的，按泰发〔</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号文件及其实施细则执行。同一项目同时符合市、区奖励政策的，原则上不得重复享受，其奖励按本意见的高限执行。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本意见自</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2012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年</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1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1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日起</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试行，由区工业经济发展领导小组办公室负责解释。《关于扶持激励重点和成长型工业企业加快发展的意见</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试行</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》（泰海委发〔</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2009</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号）同时停止执行。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46C68"/>
    <w:rsid w:val="5FD46C6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2018-07-10T06:21:00Z</dcterms:created>
  <dc:creator>栾晓琴</dc:creator>
  <cp:lastModifiedBy>栾晓琴</cp:lastModifiedBy>
  <dcterms:modified xsi:type="dcterms:W3CDTF">2018-07-10T06:21:36Z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