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306" w:type="dxa"/>
        <w:jc w:val="center"/>
        <w:tblCellSpacing w:w="0" w:type="dxa"/>
        <w:tblInd w:w="0" w:type="dxa"/>
        <w:shd w:val="clear"/>
        <w:tblLayout w:type="fixed"/>
        <w:tblCellMar>
          <w:top w:w="0" w:type="dxa"/>
          <w:left w:w="0" w:type="dxa"/>
          <w:bottom w:w="0" w:type="dxa"/>
          <w:right w:w="0" w:type="dxa"/>
        </w:tblCellMar>
      </w:tblPr>
      <w:tblGrid>
        <w:gridCol w:w="8306"/>
      </w:tblGrid>
      <w:tr>
        <w:tblPrEx>
          <w:shd w:val="clear"/>
          <w:tblLayout w:type="fixed"/>
          <w:tblCellMar>
            <w:top w:w="0" w:type="dxa"/>
            <w:left w:w="0" w:type="dxa"/>
            <w:bottom w:w="0" w:type="dxa"/>
            <w:right w:w="0" w:type="dxa"/>
          </w:tblCellMar>
        </w:tblPrEx>
        <w:trPr>
          <w:trHeight w:val="390" w:hRule="atLeast"/>
          <w:tblCellSpacing w:w="0" w:type="dxa"/>
          <w:jc w:val="center"/>
        </w:trPr>
        <w:tc>
          <w:tcPr>
            <w:tcW w:w="8306" w:type="dxa"/>
            <w:shd w:val="clear"/>
            <w:vAlign w:val="center"/>
          </w:tcPr>
          <w:tbl>
            <w:tblPr>
              <w:tblW w:w="8056" w:type="dxa"/>
              <w:jc w:val="center"/>
              <w:tblCellSpacing w:w="0" w:type="dxa"/>
              <w:tblInd w:w="125" w:type="dxa"/>
              <w:shd w:val="clear"/>
              <w:tblLayout w:type="fixed"/>
              <w:tblCellMar>
                <w:top w:w="0" w:type="dxa"/>
                <w:left w:w="0" w:type="dxa"/>
                <w:bottom w:w="0" w:type="dxa"/>
                <w:right w:w="0" w:type="dxa"/>
              </w:tblCellMar>
            </w:tblPr>
            <w:tblGrid>
              <w:gridCol w:w="8056"/>
            </w:tblGrid>
            <w:tr>
              <w:tblPrEx>
                <w:shd w:val="clear"/>
                <w:tblLayout w:type="fixed"/>
                <w:tblCellMar>
                  <w:top w:w="0" w:type="dxa"/>
                  <w:left w:w="0" w:type="dxa"/>
                  <w:bottom w:w="0" w:type="dxa"/>
                  <w:right w:w="0" w:type="dxa"/>
                </w:tblCellMar>
              </w:tblPrEx>
              <w:trPr>
                <w:trHeight w:val="350" w:hRule="atLeast"/>
                <w:tblCellSpacing w:w="0" w:type="dxa"/>
                <w:jc w:val="center"/>
              </w:trPr>
              <w:tc>
                <w:tcPr>
                  <w:tcW w:w="8056" w:type="dxa"/>
                  <w:shd w:val="clear"/>
                  <w:vAlign w:val="center"/>
                </w:tcPr>
                <w:p>
                  <w:pPr>
                    <w:keepNext w:val="0"/>
                    <w:keepLines w:val="0"/>
                    <w:widowControl/>
                    <w:suppressLineNumbers w:val="0"/>
                    <w:spacing w:line="240" w:lineRule="auto"/>
                    <w:jc w:val="center"/>
                    <w:rPr>
                      <w:rFonts w:hint="eastAsia" w:ascii="Verdana" w:hAnsi="Verdana" w:cs="Verdana"/>
                      <w:b/>
                      <w:i w:val="0"/>
                      <w:color w:val="000000"/>
                      <w:sz w:val="14"/>
                      <w:szCs w:val="14"/>
                      <w:u w:val="none"/>
                    </w:rPr>
                  </w:pPr>
                  <w:bookmarkStart w:id="0" w:name="_GoBack"/>
                  <w:r>
                    <w:rPr>
                      <w:rFonts w:hint="default" w:ascii="Verdana" w:hAnsi="Verdana" w:eastAsia="宋体" w:cs="Verdana"/>
                      <w:b/>
                      <w:i w:val="0"/>
                      <w:color w:val="000000"/>
                      <w:kern w:val="0"/>
                      <w:sz w:val="14"/>
                      <w:szCs w:val="14"/>
                      <w:u w:val="none"/>
                      <w:lang w:val="en-US" w:eastAsia="zh-CN" w:bidi="ar"/>
                    </w:rPr>
                    <w:t>关于印发吉安县鼓励外商投资优惠办法的通知</w:t>
                  </w:r>
                  <w:bookmarkEnd w:id="0"/>
                </w:p>
              </w:tc>
            </w:tr>
            <w:tr>
              <w:tblPrEx>
                <w:tblLayout w:type="fixed"/>
                <w:tblCellMar>
                  <w:top w:w="0" w:type="dxa"/>
                  <w:left w:w="0" w:type="dxa"/>
                  <w:bottom w:w="0" w:type="dxa"/>
                  <w:right w:w="0" w:type="dxa"/>
                </w:tblCellMar>
              </w:tblPrEx>
              <w:trPr>
                <w:trHeight w:val="251" w:hRule="atLeast"/>
                <w:tblCellSpacing w:w="0" w:type="dxa"/>
                <w:jc w:val="center"/>
              </w:trPr>
              <w:tc>
                <w:tcPr>
                  <w:tcW w:w="8056" w:type="dxa"/>
                  <w:shd w:val="clear"/>
                  <w:vAlign w:val="center"/>
                </w:tcPr>
                <w:tbl>
                  <w:tblPr>
                    <w:tblW w:w="8055" w:type="dxa"/>
                    <w:jc w:val="center"/>
                    <w:tblCellSpacing w:w="0" w:type="dxa"/>
                    <w:tblInd w:w="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2685"/>
                    <w:gridCol w:w="2685"/>
                    <w:gridCol w:w="26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41" w:hRule="atLeast"/>
                      <w:tblCellSpacing w:w="0" w:type="dxa"/>
                      <w:jc w:val="center"/>
                    </w:trPr>
                    <w:tc>
                      <w:tcPr>
                        <w:tcW w:w="2685" w:type="dxa"/>
                        <w:shd w:val="clear"/>
                        <w:vAlign w:val="center"/>
                      </w:tcPr>
                      <w:p>
                        <w:pPr>
                          <w:keepNext w:val="0"/>
                          <w:keepLines w:val="0"/>
                          <w:widowControl/>
                          <w:suppressLineNumbers w:val="0"/>
                          <w:spacing w:line="180" w:lineRule="atLeast"/>
                          <w:jc w:val="left"/>
                          <w:rPr>
                            <w:rFonts w:hint="default" w:ascii="Verdana" w:hAnsi="Verdana" w:cs="Verdana"/>
                            <w:color w:val="333333"/>
                            <w:sz w:val="12"/>
                            <w:szCs w:val="12"/>
                          </w:rPr>
                        </w:pPr>
                        <w:r>
                          <w:rPr>
                            <w:rStyle w:val="8"/>
                            <w:rFonts w:hint="default" w:ascii="Verdana" w:hAnsi="Verdana" w:eastAsia="宋体" w:cs="Verdana"/>
                            <w:lang w:val="en-US" w:eastAsia="zh-CN" w:bidi="ar"/>
                          </w:rPr>
                          <w:t>信息分类：</w:t>
                        </w:r>
                        <w:r>
                          <w:rPr>
                            <w:rFonts w:hint="default" w:ascii="Verdana" w:hAnsi="Verdana" w:eastAsia="宋体" w:cs="Verdana"/>
                            <w:color w:val="333333"/>
                            <w:kern w:val="0"/>
                            <w:sz w:val="12"/>
                            <w:szCs w:val="12"/>
                            <w:lang w:val="en-US" w:eastAsia="zh-CN" w:bidi="ar"/>
                          </w:rPr>
                          <w:t xml:space="preserve"> </w:t>
                        </w:r>
                        <w:r>
                          <w:rPr>
                            <w:rStyle w:val="9"/>
                            <w:rFonts w:hint="default" w:ascii="Verdana" w:hAnsi="Verdana" w:eastAsia="宋体" w:cs="Verdana"/>
                            <w:lang w:val="en-US" w:eastAsia="zh-CN" w:bidi="ar"/>
                          </w:rPr>
                          <w:t>规范性文件</w:t>
                        </w:r>
                        <w:r>
                          <w:rPr>
                            <w:rFonts w:hint="default" w:ascii="Verdana" w:hAnsi="Verdana" w:eastAsia="宋体" w:cs="Verdana"/>
                            <w:color w:val="333333"/>
                            <w:kern w:val="0"/>
                            <w:sz w:val="12"/>
                            <w:szCs w:val="12"/>
                            <w:lang w:val="en-US" w:eastAsia="zh-CN" w:bidi="ar"/>
                          </w:rPr>
                          <w:t xml:space="preserve"> </w:t>
                        </w:r>
                      </w:p>
                    </w:tc>
                    <w:tc>
                      <w:tcPr>
                        <w:tcW w:w="2685" w:type="dxa"/>
                        <w:shd w:val="clear"/>
                        <w:vAlign w:val="center"/>
                      </w:tcPr>
                      <w:p>
                        <w:pPr>
                          <w:keepNext w:val="0"/>
                          <w:keepLines w:val="0"/>
                          <w:widowControl/>
                          <w:suppressLineNumbers w:val="0"/>
                          <w:spacing w:line="180" w:lineRule="atLeast"/>
                          <w:jc w:val="left"/>
                          <w:rPr>
                            <w:rFonts w:hint="default" w:ascii="Verdana" w:hAnsi="Verdana" w:cs="Verdana"/>
                            <w:color w:val="333333"/>
                            <w:sz w:val="12"/>
                            <w:szCs w:val="12"/>
                          </w:rPr>
                        </w:pPr>
                        <w:r>
                          <w:rPr>
                            <w:rStyle w:val="8"/>
                            <w:rFonts w:hint="default" w:ascii="Verdana" w:hAnsi="Verdana" w:eastAsia="宋体" w:cs="Verdana"/>
                            <w:lang w:val="en-US" w:eastAsia="zh-CN" w:bidi="ar"/>
                          </w:rPr>
                          <w:t>文件编号：</w:t>
                        </w:r>
                        <w:r>
                          <w:rPr>
                            <w:rFonts w:hint="default" w:ascii="Verdana" w:hAnsi="Verdana" w:eastAsia="宋体" w:cs="Verdana"/>
                            <w:color w:val="333333"/>
                            <w:kern w:val="0"/>
                            <w:sz w:val="12"/>
                            <w:szCs w:val="12"/>
                            <w:lang w:val="en-US" w:eastAsia="zh-CN" w:bidi="ar"/>
                          </w:rPr>
                          <w:t xml:space="preserve"> </w:t>
                        </w:r>
                        <w:r>
                          <w:rPr>
                            <w:rStyle w:val="9"/>
                            <w:rFonts w:hint="default" w:ascii="Verdana" w:hAnsi="Verdana" w:eastAsia="宋体" w:cs="Verdana"/>
                            <w:lang w:val="en-US" w:eastAsia="zh-CN" w:bidi="ar"/>
                          </w:rPr>
                          <w:t>吉县府字〔2008〕8号</w:t>
                        </w:r>
                      </w:p>
                    </w:tc>
                    <w:tc>
                      <w:tcPr>
                        <w:tcW w:w="2685" w:type="dxa"/>
                        <w:shd w:val="clear"/>
                        <w:vAlign w:val="center"/>
                      </w:tcPr>
                      <w:p>
                        <w:pPr>
                          <w:keepNext w:val="0"/>
                          <w:keepLines w:val="0"/>
                          <w:widowControl/>
                          <w:suppressLineNumbers w:val="0"/>
                          <w:spacing w:line="180" w:lineRule="atLeast"/>
                          <w:jc w:val="left"/>
                          <w:rPr>
                            <w:rFonts w:hint="default" w:ascii="Verdana" w:hAnsi="Verdana" w:cs="Verdana"/>
                            <w:color w:val="333333"/>
                            <w:sz w:val="12"/>
                            <w:szCs w:val="12"/>
                          </w:rPr>
                        </w:pPr>
                        <w:r>
                          <w:rPr>
                            <w:rStyle w:val="8"/>
                            <w:rFonts w:hint="default" w:ascii="Verdana" w:hAnsi="Verdana" w:eastAsia="宋体" w:cs="Verdana"/>
                            <w:lang w:val="en-US" w:eastAsia="zh-CN" w:bidi="ar"/>
                          </w:rPr>
                          <w:t>公开方式：</w:t>
                        </w:r>
                        <w:r>
                          <w:rPr>
                            <w:rFonts w:hint="default" w:ascii="Verdana" w:hAnsi="Verdana" w:eastAsia="宋体" w:cs="Verdana"/>
                            <w:color w:val="333333"/>
                            <w:kern w:val="0"/>
                            <w:sz w:val="12"/>
                            <w:szCs w:val="12"/>
                            <w:lang w:val="en-US" w:eastAsia="zh-CN" w:bidi="ar"/>
                          </w:rPr>
                          <w:t xml:space="preserve"> </w:t>
                        </w:r>
                        <w:r>
                          <w:rPr>
                            <w:rStyle w:val="9"/>
                            <w:rFonts w:hint="default" w:ascii="Verdana" w:hAnsi="Verdana" w:eastAsia="宋体" w:cs="Verdana"/>
                            <w:lang w:val="en-US" w:eastAsia="zh-CN" w:bidi="ar"/>
                          </w:rPr>
                          <w:t xml:space="preserve">主动公开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1" w:hRule="atLeast"/>
                      <w:tblCellSpacing w:w="0" w:type="dxa"/>
                      <w:jc w:val="center"/>
                    </w:trPr>
                    <w:tc>
                      <w:tcPr>
                        <w:tcW w:w="2685" w:type="dxa"/>
                        <w:shd w:val="clear"/>
                        <w:vAlign w:val="center"/>
                      </w:tcPr>
                      <w:p>
                        <w:pPr>
                          <w:keepNext w:val="0"/>
                          <w:keepLines w:val="0"/>
                          <w:widowControl/>
                          <w:suppressLineNumbers w:val="0"/>
                          <w:spacing w:line="180" w:lineRule="atLeast"/>
                          <w:jc w:val="left"/>
                          <w:rPr>
                            <w:rFonts w:hint="default" w:ascii="Verdana" w:hAnsi="Verdana" w:cs="Verdana"/>
                            <w:color w:val="333333"/>
                            <w:sz w:val="12"/>
                            <w:szCs w:val="12"/>
                          </w:rPr>
                        </w:pPr>
                        <w:r>
                          <w:rPr>
                            <w:rStyle w:val="8"/>
                            <w:rFonts w:hint="default" w:ascii="Verdana" w:hAnsi="Verdana" w:eastAsia="宋体" w:cs="Verdana"/>
                            <w:lang w:val="en-US" w:eastAsia="zh-CN" w:bidi="ar"/>
                          </w:rPr>
                          <w:t>发布日期：</w:t>
                        </w:r>
                        <w:r>
                          <w:rPr>
                            <w:rFonts w:hint="default" w:ascii="Verdana" w:hAnsi="Verdana" w:eastAsia="宋体" w:cs="Verdana"/>
                            <w:color w:val="333333"/>
                            <w:kern w:val="0"/>
                            <w:sz w:val="12"/>
                            <w:szCs w:val="12"/>
                            <w:lang w:val="en-US" w:eastAsia="zh-CN" w:bidi="ar"/>
                          </w:rPr>
                          <w:t xml:space="preserve"> </w:t>
                        </w:r>
                        <w:r>
                          <w:rPr>
                            <w:rStyle w:val="9"/>
                            <w:rFonts w:hint="default" w:ascii="Verdana" w:hAnsi="Verdana" w:eastAsia="宋体" w:cs="Verdana"/>
                            <w:lang w:val="en-US" w:eastAsia="zh-CN" w:bidi="ar"/>
                          </w:rPr>
                          <w:t>2013-12-29 17:46:20</w:t>
                        </w:r>
                      </w:p>
                    </w:tc>
                    <w:tc>
                      <w:tcPr>
                        <w:tcW w:w="2685" w:type="dxa"/>
                        <w:shd w:val="clear"/>
                        <w:vAlign w:val="center"/>
                      </w:tcPr>
                      <w:p>
                        <w:pPr>
                          <w:keepNext w:val="0"/>
                          <w:keepLines w:val="0"/>
                          <w:widowControl/>
                          <w:suppressLineNumbers w:val="0"/>
                          <w:spacing w:line="180" w:lineRule="atLeast"/>
                          <w:jc w:val="left"/>
                          <w:rPr>
                            <w:rFonts w:hint="default" w:ascii="Verdana" w:hAnsi="Verdana" w:cs="Verdana"/>
                            <w:color w:val="333333"/>
                            <w:sz w:val="12"/>
                            <w:szCs w:val="12"/>
                          </w:rPr>
                        </w:pPr>
                        <w:r>
                          <w:rPr>
                            <w:rStyle w:val="8"/>
                            <w:rFonts w:hint="default" w:ascii="Verdana" w:hAnsi="Verdana" w:eastAsia="宋体" w:cs="Verdana"/>
                            <w:lang w:val="en-US" w:eastAsia="zh-CN" w:bidi="ar"/>
                          </w:rPr>
                          <w:t>公开时限：</w:t>
                        </w:r>
                        <w:r>
                          <w:rPr>
                            <w:rFonts w:hint="default" w:ascii="Verdana" w:hAnsi="Verdana" w:eastAsia="宋体" w:cs="Verdana"/>
                            <w:color w:val="333333"/>
                            <w:kern w:val="0"/>
                            <w:sz w:val="12"/>
                            <w:szCs w:val="12"/>
                            <w:lang w:val="en-US" w:eastAsia="zh-CN" w:bidi="ar"/>
                          </w:rPr>
                          <w:t xml:space="preserve"> </w:t>
                        </w:r>
                        <w:r>
                          <w:rPr>
                            <w:rStyle w:val="9"/>
                            <w:rFonts w:hint="default" w:ascii="Verdana" w:hAnsi="Verdana" w:eastAsia="宋体" w:cs="Verdana"/>
                            <w:lang w:val="en-US" w:eastAsia="zh-CN" w:bidi="ar"/>
                          </w:rPr>
                          <w:t>常年公开</w:t>
                        </w:r>
                        <w:r>
                          <w:rPr>
                            <w:rFonts w:hint="default" w:ascii="Verdana" w:hAnsi="Verdana" w:eastAsia="宋体" w:cs="Verdana"/>
                            <w:color w:val="333333"/>
                            <w:kern w:val="0"/>
                            <w:sz w:val="12"/>
                            <w:szCs w:val="12"/>
                            <w:lang w:val="en-US" w:eastAsia="zh-CN" w:bidi="ar"/>
                          </w:rPr>
                          <w:t xml:space="preserve"> 　 </w:t>
                        </w:r>
                      </w:p>
                    </w:tc>
                    <w:tc>
                      <w:tcPr>
                        <w:tcW w:w="2685" w:type="dxa"/>
                        <w:shd w:val="clear"/>
                        <w:vAlign w:val="center"/>
                      </w:tcPr>
                      <w:p>
                        <w:pPr>
                          <w:keepNext w:val="0"/>
                          <w:keepLines w:val="0"/>
                          <w:widowControl/>
                          <w:suppressLineNumbers w:val="0"/>
                          <w:spacing w:line="180" w:lineRule="atLeast"/>
                          <w:jc w:val="left"/>
                          <w:rPr>
                            <w:rFonts w:hint="default" w:ascii="Verdana" w:hAnsi="Verdana" w:cs="Verdana"/>
                            <w:color w:val="333333"/>
                            <w:sz w:val="12"/>
                            <w:szCs w:val="12"/>
                          </w:rPr>
                        </w:pPr>
                        <w:r>
                          <w:rPr>
                            <w:rStyle w:val="8"/>
                            <w:rFonts w:hint="default" w:ascii="Verdana" w:hAnsi="Verdana" w:eastAsia="宋体" w:cs="Verdana"/>
                            <w:lang w:val="en-US" w:eastAsia="zh-CN" w:bidi="ar"/>
                          </w:rPr>
                          <w:t>公开范围：</w:t>
                        </w:r>
                        <w:r>
                          <w:rPr>
                            <w:rFonts w:hint="default" w:ascii="Verdana" w:hAnsi="Verdana" w:eastAsia="宋体" w:cs="Verdana"/>
                            <w:color w:val="333333"/>
                            <w:kern w:val="0"/>
                            <w:sz w:val="12"/>
                            <w:szCs w:val="12"/>
                            <w:lang w:val="en-US" w:eastAsia="zh-CN" w:bidi="ar"/>
                          </w:rPr>
                          <w:t xml:space="preserve"> </w:t>
                        </w:r>
                        <w:r>
                          <w:rPr>
                            <w:rStyle w:val="9"/>
                            <w:rFonts w:hint="default" w:ascii="Verdana" w:hAnsi="Verdana" w:eastAsia="宋体" w:cs="Verdana"/>
                            <w:lang w:val="en-US" w:eastAsia="zh-CN" w:bidi="ar"/>
                          </w:rPr>
                          <w:t>面向全社会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1" w:hRule="atLeast"/>
                      <w:tblCellSpacing w:w="0" w:type="dxa"/>
                      <w:jc w:val="center"/>
                    </w:trPr>
                    <w:tc>
                      <w:tcPr>
                        <w:tcW w:w="2685" w:type="dxa"/>
                        <w:shd w:val="clear"/>
                        <w:vAlign w:val="center"/>
                      </w:tcPr>
                      <w:p>
                        <w:pPr>
                          <w:keepNext w:val="0"/>
                          <w:keepLines w:val="0"/>
                          <w:widowControl/>
                          <w:suppressLineNumbers w:val="0"/>
                          <w:spacing w:line="180" w:lineRule="atLeast"/>
                          <w:jc w:val="left"/>
                          <w:rPr>
                            <w:rFonts w:hint="default" w:ascii="Verdana" w:hAnsi="Verdana" w:cs="Verdana"/>
                            <w:color w:val="333333"/>
                            <w:sz w:val="12"/>
                            <w:szCs w:val="12"/>
                          </w:rPr>
                        </w:pPr>
                        <w:r>
                          <w:rPr>
                            <w:rStyle w:val="8"/>
                            <w:rFonts w:hint="default" w:ascii="Verdana" w:hAnsi="Verdana" w:eastAsia="宋体" w:cs="Verdana"/>
                            <w:lang w:val="en-US" w:eastAsia="zh-CN" w:bidi="ar"/>
                          </w:rPr>
                          <w:t>信息索取号：</w:t>
                        </w:r>
                        <w:r>
                          <w:rPr>
                            <w:rStyle w:val="9"/>
                            <w:rFonts w:hint="default" w:ascii="Verdana" w:hAnsi="Verdana" w:eastAsia="宋体" w:cs="Verdana"/>
                            <w:lang w:val="en-US" w:eastAsia="zh-CN" w:bidi="ar"/>
                          </w:rPr>
                          <w:t>D21000-0202-2008-0006</w:t>
                        </w:r>
                        <w:r>
                          <w:rPr>
                            <w:rFonts w:hint="default" w:ascii="Verdana" w:hAnsi="Verdana" w:eastAsia="宋体" w:cs="Verdana"/>
                            <w:color w:val="333333"/>
                            <w:kern w:val="0"/>
                            <w:sz w:val="12"/>
                            <w:szCs w:val="12"/>
                            <w:lang w:val="en-US" w:eastAsia="zh-CN" w:bidi="ar"/>
                          </w:rPr>
                          <w:t xml:space="preserve"> </w:t>
                        </w:r>
                      </w:p>
                    </w:tc>
                    <w:tc>
                      <w:tcPr>
                        <w:tcW w:w="5370" w:type="dxa"/>
                        <w:gridSpan w:val="2"/>
                        <w:shd w:val="clear"/>
                        <w:vAlign w:val="center"/>
                      </w:tcPr>
                      <w:p>
                        <w:pPr>
                          <w:keepNext w:val="0"/>
                          <w:keepLines w:val="0"/>
                          <w:widowControl/>
                          <w:suppressLineNumbers w:val="0"/>
                          <w:spacing w:line="180" w:lineRule="atLeast"/>
                          <w:jc w:val="left"/>
                          <w:rPr>
                            <w:rFonts w:hint="default" w:ascii="Verdana" w:hAnsi="Verdana" w:cs="Verdana"/>
                            <w:color w:val="333333"/>
                            <w:sz w:val="12"/>
                            <w:szCs w:val="12"/>
                          </w:rPr>
                        </w:pPr>
                        <w:r>
                          <w:rPr>
                            <w:rStyle w:val="8"/>
                            <w:rFonts w:hint="default" w:ascii="Verdana" w:hAnsi="Verdana" w:eastAsia="宋体" w:cs="Verdana"/>
                            <w:lang w:val="en-US" w:eastAsia="zh-CN" w:bidi="ar"/>
                          </w:rPr>
                          <w:t>责任部门：</w:t>
                        </w:r>
                        <w:r>
                          <w:rPr>
                            <w:rFonts w:hint="default" w:ascii="Verdana" w:hAnsi="Verdana" w:eastAsia="宋体" w:cs="Verdana"/>
                            <w:color w:val="333333"/>
                            <w:kern w:val="0"/>
                            <w:sz w:val="12"/>
                            <w:szCs w:val="12"/>
                            <w:lang w:val="en-US" w:eastAsia="zh-CN" w:bidi="ar"/>
                          </w:rPr>
                          <w:t xml:space="preserve"> </w:t>
                        </w:r>
                        <w:r>
                          <w:rPr>
                            <w:rStyle w:val="9"/>
                            <w:rFonts w:hint="default" w:ascii="Verdana" w:hAnsi="Verdana" w:eastAsia="宋体" w:cs="Verdana"/>
                            <w:lang w:val="en-US" w:eastAsia="zh-CN" w:bidi="ar"/>
                          </w:rPr>
                          <w:t>县政府法制办</w:t>
                        </w:r>
                        <w:r>
                          <w:rPr>
                            <w:rFonts w:hint="default" w:ascii="Verdana" w:hAnsi="Verdana" w:eastAsia="宋体" w:cs="Verdana"/>
                            <w:color w:val="333333"/>
                            <w:kern w:val="0"/>
                            <w:sz w:val="12"/>
                            <w:szCs w:val="12"/>
                            <w:lang w:val="en-US" w:eastAsia="zh-CN" w:bidi="ar"/>
                          </w:rPr>
                          <w:t xml:space="preserve"> </w:t>
                        </w:r>
                      </w:p>
                    </w:tc>
                  </w:tr>
                </w:tbl>
                <w:p>
                  <w:pPr>
                    <w:jc w:val="center"/>
                    <w:rPr>
                      <w:rFonts w:hint="default" w:ascii="Verdana" w:hAnsi="Verdana" w:cs="Verdana"/>
                      <w:color w:val="333333"/>
                      <w:sz w:val="12"/>
                      <w:szCs w:val="12"/>
                    </w:rPr>
                  </w:pPr>
                </w:p>
              </w:tc>
            </w:tr>
          </w:tbl>
          <w:p>
            <w:pPr>
              <w:jc w:val="center"/>
              <w:rPr>
                <w:rFonts w:hint="default" w:ascii="Verdana" w:hAnsi="Verdana" w:cs="Verdana"/>
                <w:color w:val="333333"/>
                <w:sz w:val="12"/>
                <w:szCs w:val="12"/>
              </w:rPr>
            </w:pPr>
          </w:p>
        </w:tc>
      </w:tr>
      <w:tr>
        <w:tblPrEx>
          <w:shd w:val="clear"/>
          <w:tblLayout w:type="fixed"/>
          <w:tblCellMar>
            <w:top w:w="0" w:type="dxa"/>
            <w:left w:w="0" w:type="dxa"/>
            <w:bottom w:w="0" w:type="dxa"/>
            <w:right w:w="0" w:type="dxa"/>
          </w:tblCellMar>
        </w:tblPrEx>
        <w:trPr>
          <w:trHeight w:val="11" w:hRule="atLeast"/>
          <w:tblCellSpacing w:w="0" w:type="dxa"/>
          <w:jc w:val="center"/>
        </w:trPr>
        <w:tc>
          <w:tcPr>
            <w:tcW w:w="8306" w:type="dxa"/>
            <w:shd w:val="clear"/>
            <w:vAlign w:val="center"/>
          </w:tcPr>
          <w:p>
            <w:pPr>
              <w:rPr>
                <w:rFonts w:hint="default" w:ascii="Verdana" w:hAnsi="Verdana" w:cs="Verdana"/>
                <w:color w:val="333333"/>
                <w:sz w:val="12"/>
                <w:szCs w:val="12"/>
              </w:rPr>
            </w:pPr>
          </w:p>
        </w:tc>
      </w:tr>
      <w:tr>
        <w:tblPrEx>
          <w:shd w:val="clear"/>
          <w:tblLayout w:type="fixed"/>
          <w:tblCellMar>
            <w:top w:w="0" w:type="dxa"/>
            <w:left w:w="0" w:type="dxa"/>
            <w:bottom w:w="0" w:type="dxa"/>
            <w:right w:w="0" w:type="dxa"/>
          </w:tblCellMar>
        </w:tblPrEx>
        <w:trPr>
          <w:trHeight w:val="2361" w:hRule="atLeast"/>
          <w:tblCellSpacing w:w="0" w:type="dxa"/>
          <w:jc w:val="center"/>
        </w:trPr>
        <w:tc>
          <w:tcPr>
            <w:tcW w:w="8306" w:type="dxa"/>
            <w:shd w:val="clear"/>
            <w:vAlign w:val="top"/>
          </w:tcPr>
          <w:tbl>
            <w:tblPr>
              <w:tblW w:w="8306" w:type="dxa"/>
              <w:jc w:val="center"/>
              <w:tblCellSpacing w:w="0" w:type="dxa"/>
              <w:tblInd w:w="0" w:type="dxa"/>
              <w:shd w:val="clear"/>
              <w:tblLayout w:type="fixed"/>
              <w:tblCellMar>
                <w:top w:w="0" w:type="dxa"/>
                <w:left w:w="0" w:type="dxa"/>
                <w:bottom w:w="0" w:type="dxa"/>
                <w:right w:w="0" w:type="dxa"/>
              </w:tblCellMar>
            </w:tblPr>
            <w:tblGrid>
              <w:gridCol w:w="8306"/>
            </w:tblGrid>
            <w:tr>
              <w:tblPrEx>
                <w:shd w:val="clear"/>
                <w:tblLayout w:type="fixed"/>
                <w:tblCellMar>
                  <w:top w:w="0" w:type="dxa"/>
                  <w:left w:w="0" w:type="dxa"/>
                  <w:bottom w:w="0" w:type="dxa"/>
                  <w:right w:w="0" w:type="dxa"/>
                </w:tblCellMar>
              </w:tblPrEx>
              <w:trPr>
                <w:tblCellSpacing w:w="0" w:type="dxa"/>
                <w:jc w:val="center"/>
              </w:trPr>
              <w:tc>
                <w:tcPr>
                  <w:tcW w:w="8306" w:type="dxa"/>
                  <w:shd w:val="clear"/>
                  <w:vAlign w:val="top"/>
                </w:tcPr>
                <w:p>
                  <w:pPr>
                    <w:keepNext w:val="0"/>
                    <w:keepLines w:val="0"/>
                    <w:widowControl/>
                    <w:suppressLineNumbers w:val="0"/>
                    <w:spacing w:line="220" w:lineRule="atLeast"/>
                    <w:jc w:val="left"/>
                    <w:rPr>
                      <w:rFonts w:hint="default" w:ascii="Verdana" w:hAnsi="Verdana" w:cs="Verdana"/>
                      <w:i w:val="0"/>
                      <w:color w:val="000000"/>
                      <w:sz w:val="12"/>
                      <w:szCs w:val="12"/>
                      <w:u w:val="none"/>
                    </w:rPr>
                  </w:pPr>
                  <w:r>
                    <w:rPr>
                      <w:rFonts w:hint="eastAsia" w:ascii="宋体" w:hAnsi="宋体" w:eastAsia="宋体" w:cs="宋体"/>
                      <w:i w:val="0"/>
                      <w:color w:val="000000"/>
                      <w:kern w:val="0"/>
                      <w:sz w:val="24"/>
                      <w:szCs w:val="24"/>
                      <w:u w:val="none"/>
                      <w:lang w:val="en-US" w:eastAsia="zh-CN" w:bidi="ar"/>
                    </w:rPr>
                    <w:t xml:space="preserve">  </w:t>
                  </w:r>
                </w:p>
                <w:p>
                  <w:pPr>
                    <w:pStyle w:val="2"/>
                    <w:keepNext w:val="0"/>
                    <w:keepLines w:val="0"/>
                    <w:widowControl/>
                    <w:suppressLineNumbers w:val="0"/>
                    <w:spacing w:line="660" w:lineRule="atLeast"/>
                    <w:jc w:val="left"/>
                  </w:pPr>
                  <w:r>
                    <w:rPr>
                      <w:rFonts w:hint="eastAsia" w:ascii="宋体" w:hAnsi="宋体" w:eastAsia="宋体" w:cs="宋体"/>
                      <w:i w:val="0"/>
                      <w:color w:val="000000"/>
                      <w:sz w:val="24"/>
                      <w:szCs w:val="24"/>
                      <w:u w:val="none"/>
                    </w:rPr>
                    <w:t>各乡镇人民政府，县政府各部门：</w:t>
                  </w:r>
                </w:p>
                <w:p>
                  <w:pPr>
                    <w:pStyle w:val="2"/>
                    <w:keepNext w:val="0"/>
                    <w:keepLines w:val="0"/>
                    <w:widowControl/>
                    <w:suppressLineNumbers w:val="0"/>
                    <w:spacing w:line="660" w:lineRule="atLeast"/>
                    <w:ind w:left="0" w:firstLine="640"/>
                    <w:jc w:val="left"/>
                  </w:pPr>
                  <w:r>
                    <w:rPr>
                      <w:rFonts w:hint="eastAsia" w:ascii="宋体" w:hAnsi="宋体" w:eastAsia="宋体" w:cs="宋体"/>
                      <w:i w:val="0"/>
                      <w:color w:val="000000"/>
                      <w:sz w:val="24"/>
                      <w:szCs w:val="24"/>
                      <w:u w:val="none"/>
                    </w:rPr>
                    <w:t>经2008年1月14日县政府第一次常务会议研究同意，现将《吉安县鼓励外商投资优惠办法》印发给你们，望认真遵照执行。</w:t>
                  </w:r>
                </w:p>
                <w:p>
                  <w:pPr>
                    <w:pStyle w:val="2"/>
                    <w:keepNext w:val="0"/>
                    <w:keepLines w:val="0"/>
                    <w:widowControl/>
                    <w:suppressLineNumbers w:val="0"/>
                    <w:spacing w:line="660" w:lineRule="atLeast"/>
                    <w:ind w:left="0" w:firstLine="640"/>
                    <w:jc w:val="left"/>
                  </w:pPr>
                  <w:r>
                    <w:rPr>
                      <w:rFonts w:hint="eastAsia" w:ascii="宋体" w:hAnsi="宋体" w:eastAsia="宋体" w:cs="宋体"/>
                      <w:i w:val="0"/>
                      <w:color w:val="000000"/>
                      <w:sz w:val="24"/>
                      <w:szCs w:val="24"/>
                      <w:u w:val="none"/>
                    </w:rPr>
                    <w:t xml:space="preserve">                                                             二〇〇八年二月三日  </w:t>
                  </w:r>
                </w:p>
                <w:p>
                  <w:pPr>
                    <w:pStyle w:val="2"/>
                    <w:keepNext w:val="0"/>
                    <w:keepLines w:val="0"/>
                    <w:widowControl/>
                    <w:suppressLineNumbers w:val="0"/>
                    <w:spacing w:line="220" w:lineRule="atLeast"/>
                    <w:jc w:val="center"/>
                  </w:pPr>
                  <w:r>
                    <w:rPr>
                      <w:rStyle w:val="4"/>
                      <w:rFonts w:hint="eastAsia" w:ascii="宋体" w:hAnsi="宋体" w:eastAsia="宋体" w:cs="宋体"/>
                      <w:i w:val="0"/>
                      <w:color w:val="000000"/>
                      <w:spacing w:val="-4"/>
                      <w:sz w:val="32"/>
                      <w:szCs w:val="32"/>
                      <w:u w:val="none"/>
                    </w:rPr>
                    <w:t>吉安县鼓励外商投资优惠办法</w:t>
                  </w:r>
                </w:p>
                <w:p>
                  <w:pPr>
                    <w:pStyle w:val="2"/>
                    <w:keepNext w:val="0"/>
                    <w:keepLines w:val="0"/>
                    <w:widowControl/>
                    <w:suppressLineNumbers w:val="0"/>
                    <w:spacing w:line="220" w:lineRule="atLeast"/>
                    <w:jc w:val="center"/>
                  </w:pPr>
                  <w:r>
                    <w:rPr>
                      <w:rFonts w:hint="eastAsia" w:ascii="宋体" w:hAnsi="宋体" w:eastAsia="宋体" w:cs="宋体"/>
                      <w:i w:val="0"/>
                      <w:color w:val="000000"/>
                      <w:sz w:val="24"/>
                      <w:szCs w:val="24"/>
                      <w:u w:val="none"/>
                    </w:rPr>
                    <w:t> </w:t>
                  </w:r>
                </w:p>
                <w:p>
                  <w:pPr>
                    <w:pStyle w:val="2"/>
                    <w:keepNext w:val="0"/>
                    <w:keepLines w:val="0"/>
                    <w:widowControl/>
                    <w:suppressLineNumbers w:val="0"/>
                    <w:spacing w:line="220" w:lineRule="atLeast"/>
                    <w:jc w:val="center"/>
                  </w:pPr>
                  <w:r>
                    <w:rPr>
                      <w:rFonts w:hint="eastAsia" w:ascii="宋体" w:hAnsi="宋体" w:eastAsia="宋体" w:cs="宋体"/>
                      <w:i w:val="0"/>
                      <w:color w:val="000000"/>
                      <w:sz w:val="24"/>
                      <w:szCs w:val="24"/>
                      <w:u w:val="none"/>
                    </w:rPr>
                    <w:t>第一章   总 则</w:t>
                  </w:r>
                </w:p>
                <w:p>
                  <w:pPr>
                    <w:pStyle w:val="2"/>
                    <w:keepNext w:val="0"/>
                    <w:keepLines w:val="0"/>
                    <w:widowControl/>
                    <w:suppressLineNumbers w:val="0"/>
                    <w:spacing w:line="220" w:lineRule="atLeast"/>
                    <w:ind w:left="0" w:firstLine="640"/>
                    <w:jc w:val="left"/>
                  </w:pPr>
                  <w:r>
                    <w:rPr>
                      <w:rFonts w:hint="eastAsia" w:ascii="宋体" w:hAnsi="宋体" w:eastAsia="宋体" w:cs="宋体"/>
                      <w:i w:val="0"/>
                      <w:color w:val="000000"/>
                      <w:sz w:val="24"/>
                      <w:szCs w:val="24"/>
                      <w:u w:val="none"/>
                    </w:rPr>
                    <w:t>第一条 为进一步扩大开放，吸引和鼓励境内外客商来县投资，促进经济快速发展，根据有关国家法律、法规及相关政策规定，结合实际，特制定本办法。</w:t>
                  </w:r>
                </w:p>
                <w:p>
                  <w:pPr>
                    <w:pStyle w:val="2"/>
                    <w:keepNext w:val="0"/>
                    <w:keepLines w:val="0"/>
                    <w:widowControl/>
                    <w:suppressLineNumbers w:val="0"/>
                    <w:spacing w:line="220" w:lineRule="atLeast"/>
                    <w:jc w:val="center"/>
                  </w:pPr>
                  <w:r>
                    <w:rPr>
                      <w:rFonts w:hint="eastAsia" w:ascii="宋体" w:hAnsi="宋体" w:eastAsia="宋体" w:cs="宋体"/>
                      <w:i w:val="0"/>
                      <w:color w:val="000000"/>
                      <w:sz w:val="24"/>
                      <w:szCs w:val="24"/>
                      <w:u w:val="none"/>
                    </w:rPr>
                    <w:t>第二章   税 收</w:t>
                  </w:r>
                </w:p>
                <w:p>
                  <w:pPr>
                    <w:pStyle w:val="2"/>
                    <w:keepNext w:val="0"/>
                    <w:keepLines w:val="0"/>
                    <w:widowControl/>
                    <w:suppressLineNumbers w:val="0"/>
                    <w:spacing w:line="220" w:lineRule="atLeast"/>
                    <w:ind w:left="0" w:firstLine="640"/>
                    <w:jc w:val="left"/>
                  </w:pPr>
                  <w:r>
                    <w:rPr>
                      <w:rFonts w:hint="eastAsia" w:ascii="宋体" w:hAnsi="宋体" w:eastAsia="宋体" w:cs="宋体"/>
                      <w:i w:val="0"/>
                      <w:color w:val="000000"/>
                      <w:sz w:val="24"/>
                      <w:szCs w:val="24"/>
                      <w:u w:val="none"/>
                    </w:rPr>
                    <w:t>第二条  境内外客商投资企业所得税，按应纳税的所得额计算，税率为25%；小型微利企业减按20%征收；国家需要重点扶持的高新技术企业减按15%征收。</w:t>
                  </w:r>
                </w:p>
                <w:p>
                  <w:pPr>
                    <w:pStyle w:val="2"/>
                    <w:keepNext w:val="0"/>
                    <w:keepLines w:val="0"/>
                    <w:widowControl/>
                    <w:suppressLineNumbers w:val="0"/>
                    <w:spacing w:line="220" w:lineRule="atLeast"/>
                    <w:ind w:left="0" w:firstLine="640"/>
                    <w:jc w:val="left"/>
                  </w:pPr>
                  <w:r>
                    <w:rPr>
                      <w:rFonts w:hint="eastAsia" w:ascii="宋体" w:hAnsi="宋体" w:eastAsia="宋体" w:cs="宋体"/>
                      <w:i w:val="0"/>
                      <w:color w:val="000000"/>
                      <w:sz w:val="24"/>
                      <w:szCs w:val="24"/>
                      <w:u w:val="none"/>
                    </w:rPr>
                    <w:t>第三条  境内外客商投资企业从事农、林、牧、渔业项目的所得，可免征或减征企业所得税。外商投资企业从事国家重点扶持的公共基础设施项目（包括港口码头、机场、铁路公路、城市公共交通、电力、水利等项目）投资经营所得；从事环境保护、节能节水项目（包括公共污水处理、公共垃圾处理、沼气综合开发利用、节能减排技术改造、海水淡化等）所得，自项目取得第一笔生产经营收入所属纳税年度起，第一年至第三年免征企业所得税，第四年至第六年减半征收企业所得税。</w:t>
                  </w:r>
                </w:p>
                <w:p>
                  <w:pPr>
                    <w:pStyle w:val="2"/>
                    <w:keepNext w:val="0"/>
                    <w:keepLines w:val="0"/>
                    <w:widowControl/>
                    <w:suppressLineNumbers w:val="0"/>
                    <w:spacing w:line="220" w:lineRule="atLeast"/>
                    <w:ind w:left="0" w:firstLine="640"/>
                    <w:jc w:val="left"/>
                  </w:pPr>
                  <w:r>
                    <w:rPr>
                      <w:rFonts w:hint="eastAsia" w:ascii="宋体" w:hAnsi="宋体" w:eastAsia="宋体" w:cs="宋体"/>
                      <w:i w:val="0"/>
                      <w:color w:val="000000"/>
                      <w:sz w:val="24"/>
                      <w:szCs w:val="24"/>
                      <w:u w:val="none"/>
                    </w:rPr>
                    <w:t>第四条  境内外客商投资企业在一个纳税年度内技术转让所得不超过500万元部分，免征企业所得税；超过500万元部分，减半征收企业所得税。</w:t>
                  </w:r>
                </w:p>
                <w:p>
                  <w:pPr>
                    <w:pStyle w:val="2"/>
                    <w:keepNext w:val="0"/>
                    <w:keepLines w:val="0"/>
                    <w:widowControl/>
                    <w:suppressLineNumbers w:val="0"/>
                    <w:spacing w:line="660" w:lineRule="atLeast"/>
                    <w:ind w:left="0" w:firstLine="640"/>
                    <w:jc w:val="left"/>
                  </w:pPr>
                  <w:r>
                    <w:rPr>
                      <w:rFonts w:hint="eastAsia" w:ascii="宋体" w:hAnsi="宋体" w:eastAsia="宋体" w:cs="宋体"/>
                      <w:i w:val="0"/>
                      <w:color w:val="000000"/>
                      <w:sz w:val="24"/>
                      <w:szCs w:val="24"/>
                      <w:u w:val="none"/>
                    </w:rPr>
                    <w:t>第五条  境</w:t>
                  </w:r>
                  <w:r>
                    <w:rPr>
                      <w:rFonts w:hint="eastAsia" w:ascii="宋体" w:hAnsi="宋体" w:eastAsia="宋体" w:cs="宋体"/>
                      <w:i w:val="0"/>
                      <w:color w:val="000000"/>
                      <w:spacing w:val="6"/>
                      <w:sz w:val="24"/>
                      <w:szCs w:val="24"/>
                      <w:u w:val="none"/>
                    </w:rPr>
                    <w:t>内外客商投资企业购置用于环境保护</w:t>
                  </w:r>
                  <w:r>
                    <w:rPr>
                      <w:rFonts w:hint="eastAsia" w:ascii="宋体" w:hAnsi="宋体" w:eastAsia="宋体" w:cs="宋体"/>
                      <w:i w:val="0"/>
                      <w:color w:val="000000"/>
                      <w:sz w:val="24"/>
                      <w:szCs w:val="24"/>
                      <w:u w:val="none"/>
                    </w:rPr>
                    <w:t xml:space="preserve">、节能节  </w:t>
                  </w:r>
                </w:p>
                <w:p>
                  <w:pPr>
                    <w:pStyle w:val="2"/>
                    <w:keepNext w:val="0"/>
                    <w:keepLines w:val="0"/>
                    <w:widowControl/>
                    <w:suppressLineNumbers w:val="0"/>
                    <w:spacing w:line="220" w:lineRule="atLeast"/>
                    <w:ind w:left="0" w:firstLine="640"/>
                    <w:jc w:val="left"/>
                  </w:pPr>
                  <w:r>
                    <w:rPr>
                      <w:rFonts w:hint="eastAsia" w:ascii="宋体" w:hAnsi="宋体" w:eastAsia="宋体" w:cs="宋体"/>
                      <w:i w:val="0"/>
                      <w:color w:val="000000"/>
                      <w:sz w:val="24"/>
                      <w:szCs w:val="24"/>
                      <w:u w:val="none"/>
                    </w:rPr>
                    <w:t>水、安全生产等专用设备的投资额的10%可以从企业当年的应纳税额中抵免，当年不足抵免的，可以在以后5个纳税年度结转抵免。</w:t>
                  </w:r>
                </w:p>
                <w:p>
                  <w:pPr>
                    <w:pStyle w:val="2"/>
                    <w:keepNext w:val="0"/>
                    <w:keepLines w:val="0"/>
                    <w:widowControl/>
                    <w:suppressLineNumbers w:val="0"/>
                    <w:spacing w:line="220" w:lineRule="atLeast"/>
                    <w:ind w:left="0" w:firstLine="640"/>
                    <w:jc w:val="left"/>
                  </w:pPr>
                  <w:r>
                    <w:rPr>
                      <w:rFonts w:hint="eastAsia" w:ascii="宋体" w:hAnsi="宋体" w:eastAsia="宋体" w:cs="宋体"/>
                      <w:i w:val="0"/>
                      <w:color w:val="000000"/>
                      <w:sz w:val="24"/>
                      <w:szCs w:val="24"/>
                      <w:u w:val="none"/>
                    </w:rPr>
                    <w:t>第六条  境内外客商投资企业综合利用资源，生产符合国家产业政策规定产品取得的收入可以在计算应纳税所得额时减按90%计入收入总额。</w:t>
                  </w:r>
                </w:p>
                <w:p>
                  <w:pPr>
                    <w:pStyle w:val="2"/>
                    <w:keepNext w:val="0"/>
                    <w:keepLines w:val="0"/>
                    <w:widowControl/>
                    <w:suppressLineNumbers w:val="0"/>
                    <w:spacing w:line="220" w:lineRule="atLeast"/>
                    <w:ind w:left="0" w:firstLine="640"/>
                    <w:jc w:val="left"/>
                  </w:pPr>
                  <w:r>
                    <w:rPr>
                      <w:rFonts w:hint="eastAsia" w:ascii="宋体" w:hAnsi="宋体" w:eastAsia="宋体" w:cs="宋体"/>
                      <w:i w:val="0"/>
                      <w:color w:val="000000"/>
                      <w:sz w:val="24"/>
                      <w:szCs w:val="24"/>
                      <w:u w:val="none"/>
                    </w:rPr>
                    <w:t>第七条  境内外客商投资企业开发新技术、新产品、新工艺发生的研发费用，在计算所得税时，在据实扣除的基础上，可按发生费用的50%加计扣除；安置残疾人员就业所支付的工资，在据实扣除的基础上加计100%扣除。</w:t>
                  </w:r>
                </w:p>
                <w:p>
                  <w:pPr>
                    <w:pStyle w:val="2"/>
                    <w:keepNext w:val="0"/>
                    <w:keepLines w:val="0"/>
                    <w:widowControl/>
                    <w:suppressLineNumbers w:val="0"/>
                    <w:spacing w:line="220" w:lineRule="atLeast"/>
                    <w:ind w:left="0" w:firstLine="640"/>
                    <w:jc w:val="left"/>
                  </w:pPr>
                  <w:r>
                    <w:rPr>
                      <w:rFonts w:hint="eastAsia" w:ascii="宋体" w:hAnsi="宋体" w:eastAsia="宋体" w:cs="宋体"/>
                      <w:i w:val="0"/>
                      <w:color w:val="000000"/>
                      <w:sz w:val="24"/>
                      <w:szCs w:val="24"/>
                      <w:u w:val="none"/>
                    </w:rPr>
                    <w:t>第八条  采用核定征收方式征收企业所得税的外商投资企业（第三产业），在规定的幅度内，从低确定其适用的利润率。</w:t>
                  </w:r>
                </w:p>
                <w:p>
                  <w:pPr>
                    <w:pStyle w:val="2"/>
                    <w:keepNext w:val="0"/>
                    <w:keepLines w:val="0"/>
                    <w:widowControl/>
                    <w:suppressLineNumbers w:val="0"/>
                    <w:spacing w:line="220" w:lineRule="atLeast"/>
                    <w:ind w:left="0" w:firstLine="640"/>
                    <w:jc w:val="left"/>
                  </w:pPr>
                  <w:r>
                    <w:rPr>
                      <w:rFonts w:hint="eastAsia" w:ascii="宋体" w:hAnsi="宋体" w:eastAsia="宋体" w:cs="宋体"/>
                      <w:i w:val="0"/>
                      <w:color w:val="000000"/>
                      <w:sz w:val="24"/>
                      <w:szCs w:val="24"/>
                      <w:u w:val="none"/>
                    </w:rPr>
                    <w:t>第九条  外商投资企业在投资总额内采购国产设备，如该设备属免税目录范围，可全额退还国产设备增值税。</w:t>
                  </w:r>
                </w:p>
                <w:p>
                  <w:pPr>
                    <w:pStyle w:val="2"/>
                    <w:keepNext w:val="0"/>
                    <w:keepLines w:val="0"/>
                    <w:widowControl/>
                    <w:suppressLineNumbers w:val="0"/>
                    <w:spacing w:line="220" w:lineRule="atLeast"/>
                    <w:ind w:left="0" w:firstLine="640"/>
                    <w:jc w:val="left"/>
                  </w:pPr>
                  <w:r>
                    <w:rPr>
                      <w:rFonts w:hint="eastAsia" w:ascii="宋体" w:hAnsi="宋体" w:eastAsia="宋体" w:cs="宋体"/>
                      <w:i w:val="0"/>
                      <w:color w:val="000000"/>
                      <w:sz w:val="24"/>
                      <w:szCs w:val="24"/>
                      <w:u w:val="none"/>
                    </w:rPr>
                    <w:t>第十条  以来料加工方式加工出口货物的企业，免征出口货物及工缴费的增值税和消费税。承接来料加工后，委托其他外商投资企业或国内企业加工再收回复出口的，免征出口货物及工缴费的增值税和消费税。</w:t>
                  </w:r>
                </w:p>
                <w:p>
                  <w:pPr>
                    <w:pStyle w:val="2"/>
                    <w:keepNext w:val="0"/>
                    <w:keepLines w:val="0"/>
                    <w:widowControl/>
                    <w:suppressLineNumbers w:val="0"/>
                    <w:spacing w:line="220" w:lineRule="atLeast"/>
                    <w:ind w:left="0" w:firstLine="640"/>
                    <w:jc w:val="left"/>
                  </w:pPr>
                  <w:r>
                    <w:rPr>
                      <w:rFonts w:hint="eastAsia" w:ascii="宋体" w:hAnsi="宋体" w:eastAsia="宋体" w:cs="宋体"/>
                      <w:i w:val="0"/>
                      <w:color w:val="000000"/>
                      <w:sz w:val="24"/>
                      <w:szCs w:val="24"/>
                      <w:u w:val="none"/>
                    </w:rPr>
                    <w:t xml:space="preserve">第十一条 凡在我县投资新办工业企业在享受国家税收优惠政策同时，还可享受企业所得税从取得第一笔销售收入起前二年，企业所得税地方留成部分由财政全额奖励给企业，第三至第五年企业所得税地方留成部分50%由财政奖励给企业；增值税按地方留成部分的50%前三年由财政奖励给企业，用于企业的技术  </w:t>
                  </w:r>
                </w:p>
                <w:p>
                  <w:pPr>
                    <w:pStyle w:val="2"/>
                    <w:keepNext w:val="0"/>
                    <w:keepLines w:val="0"/>
                    <w:widowControl/>
                    <w:suppressLineNumbers w:val="0"/>
                    <w:spacing w:line="220" w:lineRule="atLeast"/>
                    <w:ind w:left="0" w:firstLine="640"/>
                    <w:jc w:val="left"/>
                  </w:pPr>
                  <w:r>
                    <w:rPr>
                      <w:rFonts w:hint="eastAsia" w:ascii="宋体" w:hAnsi="宋体" w:eastAsia="宋体" w:cs="宋体"/>
                      <w:i w:val="0"/>
                      <w:color w:val="000000"/>
                      <w:sz w:val="24"/>
                      <w:szCs w:val="24"/>
                      <w:u w:val="none"/>
                    </w:rPr>
                    <w:t>改造和生产发展。</w:t>
                  </w:r>
                </w:p>
                <w:p>
                  <w:pPr>
                    <w:pStyle w:val="2"/>
                    <w:keepNext w:val="0"/>
                    <w:keepLines w:val="0"/>
                    <w:widowControl/>
                    <w:suppressLineNumbers w:val="0"/>
                    <w:spacing w:line="220" w:lineRule="atLeast"/>
                    <w:ind w:left="0" w:firstLine="640"/>
                    <w:jc w:val="left"/>
                  </w:pPr>
                  <w:r>
                    <w:rPr>
                      <w:rFonts w:hint="eastAsia" w:ascii="宋体" w:hAnsi="宋体" w:eastAsia="宋体" w:cs="宋体"/>
                      <w:i w:val="0"/>
                      <w:color w:val="000000"/>
                      <w:sz w:val="24"/>
                      <w:szCs w:val="24"/>
                      <w:u w:val="none"/>
                    </w:rPr>
                    <w:t>第十二条 境内外客商在新开发的荒山、荒地、河滩、水面上生产除烟叶外的农产品，不征任何税收。</w:t>
                  </w:r>
                </w:p>
                <w:p>
                  <w:pPr>
                    <w:pStyle w:val="2"/>
                    <w:keepNext w:val="0"/>
                    <w:keepLines w:val="0"/>
                    <w:widowControl/>
                    <w:suppressLineNumbers w:val="0"/>
                    <w:spacing w:line="220" w:lineRule="atLeast"/>
                    <w:ind w:left="0" w:firstLine="640"/>
                    <w:jc w:val="left"/>
                  </w:pPr>
                  <w:r>
                    <w:rPr>
                      <w:rFonts w:hint="eastAsia" w:ascii="宋体" w:hAnsi="宋体" w:eastAsia="宋体" w:cs="宋体"/>
                      <w:i w:val="0"/>
                      <w:color w:val="000000"/>
                      <w:sz w:val="24"/>
                      <w:szCs w:val="24"/>
                      <w:u w:val="none"/>
                    </w:rPr>
                    <w:t>第十三条 经营期限确定为10年以上的，对其缴纳的土地使用税和房产税（以下简称“两税”）按照企业缴纳的各种税额或出口创汇贡献大小进行奖励。纳税奖励：对投产后年缴纳总额每亩（按占地面积计算，下同）5—10万元的企业，3年内给予“两税”年纳税同等金额的奖励；年缴纳总额每亩10—20万元的企业，5年内给予“两税”年纳税同等金额的奖励；年缴纳总额每亩超过20万元的企业，8年内给予“两税”年纳税同等金额的奖励；年缴纳总额每亩低于5万元的企业不予奖励。出口创汇奖励：对年出口创汇每亩5—10万美元的企业，3年内给予“两税”年纳税同等金额的奖励。年出口创汇每亩10—20万美元的企业，5年内给予“两税”年纳税同等金额的奖励；年出口创汇每亩超过20万美元的企业，8年内给予“两税”纳税同等金额的；年出口创汇每亩低于5万美元的企业不予奖励。纳税奖励和出口创汇奖励不重复也不交叉计奖，任何企业受奖时间不超过8年。项目建设期限自签约之日起确定为两年，期间实行全征全奖；“两税”开征时，原已签约的项目建设期限不足两年的，也按全征全奖办法执行。在此以前开工投产的企业也适用于本条所列奖励办法。</w:t>
                  </w:r>
                </w:p>
                <w:p>
                  <w:pPr>
                    <w:pStyle w:val="2"/>
                    <w:keepNext w:val="0"/>
                    <w:keepLines w:val="0"/>
                    <w:widowControl/>
                    <w:suppressLineNumbers w:val="0"/>
                    <w:spacing w:line="220" w:lineRule="atLeast"/>
                    <w:jc w:val="center"/>
                  </w:pPr>
                  <w:r>
                    <w:rPr>
                      <w:rFonts w:hint="eastAsia" w:ascii="宋体" w:hAnsi="宋体" w:eastAsia="宋体" w:cs="宋体"/>
                      <w:i w:val="0"/>
                      <w:color w:val="000000"/>
                      <w:sz w:val="24"/>
                      <w:szCs w:val="24"/>
                      <w:u w:val="none"/>
                    </w:rPr>
                    <w:t>第三章   用 地</w:t>
                  </w:r>
                </w:p>
                <w:p>
                  <w:pPr>
                    <w:pStyle w:val="2"/>
                    <w:keepNext w:val="0"/>
                    <w:keepLines w:val="0"/>
                    <w:widowControl/>
                    <w:suppressLineNumbers w:val="0"/>
                    <w:spacing w:line="220" w:lineRule="atLeast"/>
                    <w:ind w:left="0" w:firstLine="640"/>
                    <w:jc w:val="left"/>
                  </w:pPr>
                  <w:r>
                    <w:rPr>
                      <w:rFonts w:hint="eastAsia" w:ascii="宋体" w:hAnsi="宋体" w:eastAsia="宋体" w:cs="宋体"/>
                      <w:i w:val="0"/>
                      <w:color w:val="000000"/>
                      <w:sz w:val="24"/>
                      <w:szCs w:val="24"/>
                      <w:u w:val="none"/>
                    </w:rPr>
                    <w:t>第十四条 凡在我县投资兴业的客商投资企业，可以依法通过出让、转让、租赁方式取得国有土地使用权。对以出让方式取得的国有土地使用权，可以依法转让、出租、抵押、继承和作价入股与其他企业合作、合营。</w:t>
                  </w:r>
                </w:p>
                <w:p>
                  <w:pPr>
                    <w:pStyle w:val="2"/>
                    <w:keepNext w:val="0"/>
                    <w:keepLines w:val="0"/>
                    <w:widowControl/>
                    <w:suppressLineNumbers w:val="0"/>
                    <w:spacing w:line="220" w:lineRule="atLeast"/>
                    <w:ind w:left="0" w:firstLine="640"/>
                    <w:jc w:val="left"/>
                  </w:pPr>
                  <w:r>
                    <w:rPr>
                      <w:rFonts w:hint="eastAsia" w:ascii="宋体" w:hAnsi="宋体" w:eastAsia="宋体" w:cs="宋体"/>
                      <w:i w:val="0"/>
                      <w:color w:val="000000"/>
                      <w:sz w:val="24"/>
                      <w:szCs w:val="24"/>
                      <w:u w:val="none"/>
                    </w:rPr>
                    <w:t>第十五条 境内外客商投资企业使用国有土地最长年限为：居住用地70年；工业、教育、科技、文化、卫生、体育用地50年；商业、旅游、娱乐用地40年；综合或者其他用地50年。</w:t>
                  </w:r>
                </w:p>
                <w:p>
                  <w:pPr>
                    <w:pStyle w:val="2"/>
                    <w:keepNext w:val="0"/>
                    <w:keepLines w:val="0"/>
                    <w:widowControl/>
                    <w:suppressLineNumbers w:val="0"/>
                    <w:spacing w:line="220" w:lineRule="atLeast"/>
                    <w:ind w:left="0" w:firstLine="640"/>
                    <w:jc w:val="left"/>
                  </w:pPr>
                  <w:r>
                    <w:rPr>
                      <w:rFonts w:hint="eastAsia" w:ascii="宋体" w:hAnsi="宋体" w:eastAsia="宋体" w:cs="宋体"/>
                      <w:i w:val="0"/>
                      <w:color w:val="000000"/>
                      <w:sz w:val="24"/>
                      <w:szCs w:val="24"/>
                      <w:u w:val="none"/>
                    </w:rPr>
                    <w:t>第十六条 境内外客商企业以协议出让方式取得国有土地使用权的，按国土资源部《协议出让国家土地使用权规定》执行。城市基础设施、公益性用地的协议出让价格可以按国家规定的协议出让最低价确定。</w:t>
                  </w:r>
                </w:p>
                <w:p>
                  <w:pPr>
                    <w:pStyle w:val="2"/>
                    <w:keepNext w:val="0"/>
                    <w:keepLines w:val="0"/>
                    <w:widowControl/>
                    <w:suppressLineNumbers w:val="0"/>
                    <w:spacing w:line="220" w:lineRule="atLeast"/>
                    <w:ind w:left="0" w:firstLine="640"/>
                    <w:jc w:val="left"/>
                  </w:pPr>
                  <w:r>
                    <w:rPr>
                      <w:rFonts w:hint="eastAsia" w:ascii="宋体" w:hAnsi="宋体" w:eastAsia="宋体" w:cs="宋体"/>
                      <w:i w:val="0"/>
                      <w:color w:val="000000"/>
                      <w:sz w:val="24"/>
                      <w:szCs w:val="24"/>
                      <w:u w:val="none"/>
                    </w:rPr>
                    <w:t>第十七条 境内外客商投资企业经批准以租赁方式取得国有土地使用权的，其土地租赁金标准为：交通、能源、水利、教育、文化、科研、医疗卫生等基础设施和公益事业项目用地每年每平方米0.51元人民币；工业、仓储用地每年每平方米1—3元人民币；非盈利性公益事业项目用地免缴土地租赁金。境内外客商投资企业在建期间免缴土地租赁金。</w:t>
                  </w:r>
                </w:p>
                <w:p>
                  <w:pPr>
                    <w:pStyle w:val="2"/>
                    <w:keepNext w:val="0"/>
                    <w:keepLines w:val="0"/>
                    <w:widowControl/>
                    <w:suppressLineNumbers w:val="0"/>
                    <w:spacing w:line="220" w:lineRule="atLeast"/>
                    <w:ind w:left="0" w:firstLine="640"/>
                    <w:jc w:val="left"/>
                  </w:pPr>
                  <w:r>
                    <w:rPr>
                      <w:rFonts w:hint="eastAsia" w:ascii="宋体" w:hAnsi="宋体" w:eastAsia="宋体" w:cs="宋体"/>
                      <w:i w:val="0"/>
                      <w:color w:val="000000"/>
                      <w:sz w:val="24"/>
                      <w:szCs w:val="24"/>
                      <w:u w:val="none"/>
                    </w:rPr>
                    <w:t>第十八条 凡在工业园区新办工业企业，必须以招标拍卖挂牌方式取得土地使用权，土地价格最低价为每亩8万元。对新增工业用地，厂房建筑面积高于容积率控制指标的部分，不再增收土地价款。</w:t>
                  </w:r>
                </w:p>
                <w:p>
                  <w:pPr>
                    <w:pStyle w:val="2"/>
                    <w:keepNext w:val="0"/>
                    <w:keepLines w:val="0"/>
                    <w:widowControl/>
                    <w:suppressLineNumbers w:val="0"/>
                    <w:spacing w:line="220" w:lineRule="atLeast"/>
                    <w:jc w:val="center"/>
                  </w:pPr>
                  <w:r>
                    <w:rPr>
                      <w:rFonts w:hint="eastAsia" w:ascii="宋体" w:hAnsi="宋体" w:eastAsia="宋体" w:cs="宋体"/>
                      <w:i w:val="0"/>
                      <w:color w:val="000000"/>
                      <w:sz w:val="24"/>
                      <w:szCs w:val="24"/>
                      <w:u w:val="none"/>
                    </w:rPr>
                    <w:t>第四章   收 费</w:t>
                  </w:r>
                </w:p>
                <w:p>
                  <w:pPr>
                    <w:pStyle w:val="2"/>
                    <w:keepNext w:val="0"/>
                    <w:keepLines w:val="0"/>
                    <w:widowControl/>
                    <w:suppressLineNumbers w:val="0"/>
                    <w:spacing w:line="220" w:lineRule="atLeast"/>
                    <w:ind w:left="0" w:firstLine="640"/>
                    <w:jc w:val="left"/>
                  </w:pPr>
                  <w:r>
                    <w:rPr>
                      <w:rFonts w:hint="eastAsia" w:ascii="宋体" w:hAnsi="宋体" w:eastAsia="宋体" w:cs="宋体"/>
                      <w:i w:val="0"/>
                      <w:color w:val="000000"/>
                      <w:sz w:val="24"/>
                      <w:szCs w:val="24"/>
                      <w:u w:val="none"/>
                    </w:rPr>
                    <w:t>第十九条 凡在县工业园区落户的企业，其财政征收的各种行政事业性收费，按《关于印发吉安县工业园区工业项目及配套设施发展建设有关费用收取事宜协调会议纪要的通知》（吉县府办字〔2007〕18号）文件执行。园区外生产性企业经县政府批准也可个案优惠。相关法律、法规、规章和上级政策另有规定的除外。</w:t>
                  </w:r>
                </w:p>
                <w:p>
                  <w:pPr>
                    <w:pStyle w:val="2"/>
                    <w:keepNext w:val="0"/>
                    <w:keepLines w:val="0"/>
                    <w:widowControl/>
                    <w:suppressLineNumbers w:val="0"/>
                    <w:spacing w:line="220" w:lineRule="atLeast"/>
                    <w:jc w:val="center"/>
                  </w:pPr>
                  <w:r>
                    <w:rPr>
                      <w:rFonts w:hint="eastAsia" w:ascii="宋体" w:hAnsi="宋体" w:eastAsia="宋体" w:cs="宋体"/>
                      <w:i w:val="0"/>
                      <w:color w:val="000000"/>
                      <w:sz w:val="24"/>
                      <w:szCs w:val="24"/>
                      <w:u w:val="none"/>
                    </w:rPr>
                    <w:t>第五章   其 它</w:t>
                  </w:r>
                </w:p>
                <w:p>
                  <w:pPr>
                    <w:pStyle w:val="2"/>
                    <w:keepNext w:val="0"/>
                    <w:keepLines w:val="0"/>
                    <w:widowControl/>
                    <w:suppressLineNumbers w:val="0"/>
                    <w:spacing w:line="220" w:lineRule="atLeast"/>
                    <w:ind w:left="0" w:firstLine="640"/>
                    <w:jc w:val="left"/>
                  </w:pPr>
                  <w:r>
                    <w:rPr>
                      <w:rFonts w:hint="eastAsia" w:ascii="宋体" w:hAnsi="宋体" w:eastAsia="宋体" w:cs="宋体"/>
                      <w:i w:val="0"/>
                      <w:color w:val="000000"/>
                      <w:sz w:val="24"/>
                      <w:szCs w:val="24"/>
                      <w:u w:val="none"/>
                    </w:rPr>
                    <w:t>第二十条 境内外客商及其亲属入户、入托、入学、就医等享受与县城居民同等待遇。</w:t>
                  </w:r>
                </w:p>
                <w:p>
                  <w:pPr>
                    <w:pStyle w:val="2"/>
                    <w:keepNext w:val="0"/>
                    <w:keepLines w:val="0"/>
                    <w:widowControl/>
                    <w:suppressLineNumbers w:val="0"/>
                    <w:spacing w:line="220" w:lineRule="atLeast"/>
                    <w:ind w:left="0" w:firstLine="640"/>
                    <w:jc w:val="left"/>
                  </w:pPr>
                  <w:r>
                    <w:rPr>
                      <w:rFonts w:hint="eastAsia" w:ascii="宋体" w:hAnsi="宋体" w:eastAsia="宋体" w:cs="宋体"/>
                      <w:i w:val="0"/>
                      <w:color w:val="000000"/>
                      <w:sz w:val="24"/>
                      <w:szCs w:val="24"/>
                      <w:u w:val="none"/>
                    </w:rPr>
                    <w:t>第二十一条 境内外客商投资企业的中方人员，其劳动人事关系可由县人才交流中心托管，在职称晋升和技术等级评定、政策性调资、正常流动、继续教育、社会保险、出国政审等方面享受当地在职人员同等待遇。</w:t>
                  </w:r>
                </w:p>
                <w:p>
                  <w:pPr>
                    <w:pStyle w:val="2"/>
                    <w:keepNext w:val="0"/>
                    <w:keepLines w:val="0"/>
                    <w:widowControl/>
                    <w:suppressLineNumbers w:val="0"/>
                    <w:spacing w:line="220" w:lineRule="atLeast"/>
                    <w:jc w:val="center"/>
                  </w:pPr>
                  <w:r>
                    <w:rPr>
                      <w:rFonts w:hint="eastAsia" w:ascii="宋体" w:hAnsi="宋体" w:eastAsia="宋体" w:cs="宋体"/>
                      <w:i w:val="0"/>
                      <w:color w:val="000000"/>
                      <w:sz w:val="24"/>
                      <w:szCs w:val="24"/>
                      <w:u w:val="none"/>
                    </w:rPr>
                    <w:t>第六章   附 则</w:t>
                  </w:r>
                </w:p>
                <w:p>
                  <w:pPr>
                    <w:pStyle w:val="2"/>
                    <w:keepNext w:val="0"/>
                    <w:keepLines w:val="0"/>
                    <w:widowControl/>
                    <w:suppressLineNumbers w:val="0"/>
                    <w:spacing w:line="220" w:lineRule="atLeast"/>
                    <w:ind w:left="0" w:firstLine="640"/>
                    <w:jc w:val="left"/>
                  </w:pPr>
                  <w:r>
                    <w:rPr>
                      <w:rFonts w:hint="eastAsia" w:ascii="宋体" w:hAnsi="宋体" w:eastAsia="宋体" w:cs="宋体"/>
                      <w:i w:val="0"/>
                      <w:color w:val="000000"/>
                      <w:sz w:val="24"/>
                      <w:szCs w:val="24"/>
                      <w:u w:val="none"/>
                    </w:rPr>
                    <w:t>第二十二条 本办法所涉企业经营期必须确定在10年以上，本办法自发布之日起施行，原有规定与办法相抵触的，以本办法为准。如遇国家法律、法规、政策的出台，按新的法律、法规、政策执行。</w:t>
                  </w:r>
                </w:p>
                <w:p>
                  <w:pPr>
                    <w:pStyle w:val="2"/>
                    <w:keepNext w:val="0"/>
                    <w:keepLines w:val="0"/>
                    <w:widowControl/>
                    <w:suppressLineNumbers w:val="0"/>
                    <w:spacing w:line="220" w:lineRule="atLeast"/>
                    <w:ind w:left="0" w:firstLine="640"/>
                    <w:jc w:val="left"/>
                  </w:pPr>
                  <w:r>
                    <w:rPr>
                      <w:rFonts w:hint="eastAsia" w:ascii="宋体" w:hAnsi="宋体" w:eastAsia="宋体" w:cs="宋体"/>
                      <w:i w:val="0"/>
                      <w:color w:val="000000"/>
                      <w:sz w:val="24"/>
                      <w:szCs w:val="24"/>
                      <w:u w:val="none"/>
                    </w:rPr>
                    <w:t>第二十三条 本办法由县开放型经济工作领导小组办公室负责解释。</w:t>
                  </w:r>
                </w:p>
              </w:tc>
            </w:tr>
          </w:tbl>
          <w:p>
            <w:pPr>
              <w:jc w:val="center"/>
              <w:rPr>
                <w:rFonts w:hint="default" w:ascii="Verdana" w:hAnsi="Verdana" w:cs="Verdana"/>
                <w:color w:val="333333"/>
                <w:sz w:val="12"/>
                <w:szCs w:val="12"/>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43" w:usb2="00000009" w:usb3="00000000" w:csb0="400001FF" w:csb1="FFFF0000"/>
  </w:font>
  <w:font w:name="方正小标宋简体">
    <w:altName w:val="Arial Unicode MS"/>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E60D7F"/>
    <w:rsid w:val="005C7EAC"/>
    <w:rsid w:val="03F21160"/>
    <w:rsid w:val="0D536A0D"/>
    <w:rsid w:val="1AE2368C"/>
    <w:rsid w:val="20503ABB"/>
    <w:rsid w:val="29554D5A"/>
    <w:rsid w:val="2DC91981"/>
    <w:rsid w:val="3CE911E4"/>
    <w:rsid w:val="44B33A03"/>
    <w:rsid w:val="46E60D7F"/>
    <w:rsid w:val="4BF85EF7"/>
    <w:rsid w:val="55CD23B9"/>
    <w:rsid w:val="58EF40A2"/>
    <w:rsid w:val="7E036C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uiPriority w:val="0"/>
    <w:rPr>
      <w:color w:val="333333"/>
      <w:u w:val="none"/>
    </w:rPr>
  </w:style>
  <w:style w:type="character" w:styleId="6">
    <w:name w:val="Hyperlink"/>
    <w:basedOn w:val="3"/>
    <w:uiPriority w:val="0"/>
    <w:rPr>
      <w:color w:val="333333"/>
      <w:u w:val="none"/>
    </w:rPr>
  </w:style>
  <w:style w:type="character" w:customStyle="1" w:styleId="8">
    <w:name w:val="cn61"/>
    <w:basedOn w:val="3"/>
    <w:uiPriority w:val="0"/>
    <w:rPr>
      <w:b/>
      <w:color w:val="000000"/>
      <w:sz w:val="12"/>
      <w:szCs w:val="12"/>
      <w:u w:val="none"/>
    </w:rPr>
  </w:style>
  <w:style w:type="character" w:customStyle="1" w:styleId="9">
    <w:name w:val="cn41"/>
    <w:basedOn w:val="3"/>
    <w:uiPriority w:val="0"/>
    <w:rPr>
      <w:color w:val="000000"/>
      <w:sz w:val="12"/>
      <w:szCs w:val="1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2018-05-12T14:02:00Z</dcterms:created>
  <dc:creator>huchunming</dc:creator>
  <cp:lastModifiedBy>huchunming</cp:lastModifiedBy>
  <dcterms:modified xsi:type="dcterms:W3CDTF">2018-05-12T14:40:41Z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