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34F" w:rsidRPr="00A6134F" w:rsidRDefault="00A6134F" w:rsidP="00A6134F">
      <w:pPr>
        <w:widowControl/>
        <w:shd w:val="clear" w:color="auto" w:fill="FFFFFF"/>
        <w:spacing w:line="540" w:lineRule="atLeast"/>
        <w:jc w:val="left"/>
        <w:rPr>
          <w:rFonts w:ascii="微软雅黑" w:eastAsia="微软雅黑" w:hAnsi="微软雅黑" w:cs="宋体"/>
          <w:color w:val="454545"/>
          <w:kern w:val="0"/>
          <w:sz w:val="24"/>
          <w:szCs w:val="24"/>
        </w:rPr>
      </w:pPr>
      <w:r w:rsidRPr="00A6134F">
        <w:rPr>
          <w:rFonts w:ascii="微软雅黑" w:eastAsia="微软雅黑" w:hAnsi="微软雅黑" w:cs="宋体" w:hint="eastAsia"/>
          <w:color w:val="454545"/>
          <w:kern w:val="0"/>
          <w:sz w:val="30"/>
          <w:szCs w:val="30"/>
        </w:rPr>
        <w:t>各乡、镇人民政府，各街道办事处，县政府各部门、各直属机构：</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为促进我县经济持续健康较快发展，减轻实体经济企业负担，根据《中共安徽省委安徽省人民政府关于印发〈安徽省扎实推进供给侧结构性改革实施方案〉的通知》（皖发〔2016〕21号）和《安徽省人民政府关于降成本减轻实体经济企业负担的实施意见》（皖政〔2016〕54号）精神，围绕增效益，推进降成本，结合我县实际，现提出以下实施意见：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一、降低制度性交易成本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1．继续深化“放管服”改革，简政放权，激发活力，持续推进商事制度改革，在全面落实“三证合一、一照一码”的基础上，推行“五证合一、一照一码”，年内实现个体工商户的营业执照、税务登记证 “两证合一”。完善政府权力清单、责任清单和涉企收费清单，建立公共服务清单和中介服务清单，实行清单之外无收费。</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2．剥离依附行政机关的中介服务机构，清理和取消中介服务机构承担的行政职能，行政审批部门所属事业单位、主管的社会组织及其举办的企业不得开展与本部门行政审批相关的中介服务，需要开展的应转企改制，或与主管部门脱钩。</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3．严禁行政机关指定中介服务，打破公共服务和中介服务垄断。</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二、降低企业人工成本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lastRenderedPageBreak/>
        <w:t>4．落实国家阶段性下调社保费率政策，企业职工基本养老保险单位缴费费率降低至19%，失业保险单位缴费费率从1.5%下调至1%。进一步减轻符合条件的小微企业社会保险缴费负担。</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5．住房公积金缴存比例上限降低至12%，缴存基数上限降低至设区城市上一年度月平均工资的3倍。</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6．降低企业引进高科技人才成本，对企业引进科技人才年薪达20-150万元，并在我县缴纳个人所得税、工作半年以上、经推荐和公示无异议的，县每年按其年薪10%的比例奖励用人单位（150万元以上部分不予奖励），专项用于企业科技研发。奖励资金除省财政承担的30%和市财政承担的部分外，由县财政承担。</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三、降低企业税费负担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7．全面落实固定资产加速折旧政策。按国家有关规定，对符合条件的小微企业，免征教育费附加、地方教育附加、水利建设基金、文化事业建设费和残疾人就业保障金，执行时间至2017年12月31日止。工业生产厂房及其配套设施免收人防工程易地建设费，厂区范围内直接为工业生产服务的其他配套设施人防工程易地建设费2016-2020年暂不征收。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8．对上一年度未拖欠农民工工资的建筑施工民营企业，当年农民工工资保证金减按50%收取，连续两年未拖欠的减按40%收取，连续3年以上未拖欠的免缴保证金。</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lastRenderedPageBreak/>
        <w:t>9．对已认定的高新技术企业减按15%的税率征收企业所得税，并对研发费用按150%加计扣除。对已经认定的县外高新技术企业转移到我县落户的，有效期内不再重新认定，并享受高新技术企业政策。</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四、降低企业财务成本</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10．大力推动企业股份制改造，增加资本金，降低负债率。鼓励有条件的企业发行中长期债券，降低财务费用。建立现代企业后备资源库，鼓励企业进行股份制改造。企业完成改制、重组，变更为股份制有限公司的（以工商注册登记为准），一次性奖励20万元；完成股份制改造的企业优先纳入上市（挂牌）后备资源库，完成股份制改造纳入上市（挂牌）后备资源库并在县金融办登记备案的企业，县政府将在企业用工、用地、财政资金扶持、政府基金投资及融资方面给予优先考虑。鼓励县内具备发债条件的优质企业发行中长期债券（5年以上），企业通过发债实现直接融资，且所融资金全部用于县域内项目建设和生产的，县政府将按直接融资总额的1%、最高不超过50万元的标准给予奖励（参照蒙政秘〔2016〕18号文件执行）。</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11．清理和规范金融机构的资金“通道”和“过桥”等环节收费，取消与贷款挂钩、没有实质性服务内容的顾问、咨询等收费项目；规范与贷款挂钩的评估、登记、审计、公证、保险等中介机构收费行为，企业自主选择中介机构，金融机构不得指</w:t>
      </w:r>
      <w:r w:rsidRPr="00A6134F">
        <w:rPr>
          <w:rFonts w:ascii="微软雅黑" w:eastAsia="微软雅黑" w:hAnsi="微软雅黑" w:cs="宋体" w:hint="eastAsia"/>
          <w:color w:val="454545"/>
          <w:kern w:val="0"/>
          <w:sz w:val="30"/>
          <w:szCs w:val="30"/>
        </w:rPr>
        <w:lastRenderedPageBreak/>
        <w:t>定；清理取消质价不符和无实质性内容的收费项目。每半年组织开展银行业收费专项检查。</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12．大力推进“4321”政银担风险分担机制和“税融通”业务，将国有融资担保机构的贷款担保费率降低至不超过1.2%，降低费用期限暂定3年。</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13．开展企业应收账款资金占用压降行动，制定实施应收账款质押、转让融资业务管理办法，鼓励建立应收账款质押融资服务平台，支持商业银行开展应收账款质押融资业务；利用全国统一信用信息共享交换平台，完善守信联合激励和失信联合惩戒制度，对守信企业提供公共服务、市场交易和投融资等便利，对失信企业依法严格约束和限制。建立企业应收账款统计台账，搭建银企合作平台，加强应收账款质押服务平台的宣传推介，支持银行业金融机构发放应收账款质押贷款，县财政按照贷款发生额的1%对银行业金融机构进行奖励。</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14．加大支持企业创新和转型升级力度。对获得省级标准化示范企业、质量标杆示范企业、工业品牌培育试点企业、节能节水试点企业、中小企业公共服务示范平台、专精特新中小企业、小微企业创业基地、新型工业化产业示范基地的企业，给予一次性10万元的奖励。对认定的国家级上述单位，给予一次性30万元的奖励。积极支持企业申报上述国家、省级各类示范试点，对符合申报条件且按要求积极申报，并通过市初审的企业，给予5万元、2万元的补助。</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lastRenderedPageBreak/>
        <w:t>五、降低企业用能用地成本</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15．不断降低企业的用电成本。支持和帮助电力用户与发电企业直接交易，不断扩大直接交易企业的数量和规模。对全县的规模工业企业用电增量部分进行补助，凡是我县规模工业企业年主营业务收入增幅较上一年增长10%以上的，按企业季度用电量进行核算，对其用电增量部分进行补助，每度电补助0.08元；新进规模工业企业，如果去年同期无基数，按季度工业用电量的10%作为增量部分进行补助，每度电补助0.08元。补助时间暂定为2016年7月1日至2017年6月30日。</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16．推动大用户直供气试点，实行大用户直供气的用气价格由双方协商确定，并确保价格有所降低。</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17．大力推广合同能源管理模式。支持工商企业与专业的节能服务公司合作，开展合同能源管理，实施节能技术改造。凡是年节能量在300吨标煤以上的企业，按每吨标煤300元的标准给予补助，最高补助20万元。</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18．鼓励工业企业节约集约用地。对上一年度亩均缴纳税收5万元以上的企业，土地使用税按最低标准征收，原定奖励等政策继续执行。奖励资金在地税部门征税后1个月内，由县级财政部门拨付到位。对企业缴纳的土地使用税、房产税，根据项目年度亩均税收给予相应扶持，独立选址供地并建成投产的工业项目，自约定建设期满之日起五年内，给予相应扶持，扶持</w:t>
      </w:r>
      <w:r w:rsidRPr="00A6134F">
        <w:rPr>
          <w:rFonts w:ascii="微软雅黑" w:eastAsia="微软雅黑" w:hAnsi="微软雅黑" w:cs="宋体" w:hint="eastAsia"/>
          <w:color w:val="454545"/>
          <w:kern w:val="0"/>
          <w:sz w:val="30"/>
          <w:szCs w:val="30"/>
        </w:rPr>
        <w:lastRenderedPageBreak/>
        <w:t>金额按照如下公式进行测算：扶持金额＝S×［60%＋（N－2）×10%］。</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注：S为年度土地使用税、房产税纳税数之和（单位：万元）；N为上一年度亩均税收（单位：万元），N≥6，按照S标准全额扶持。N&lt;2，不享受当年度土地使用税和房产税扶持政策。</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六、降低企业物流成本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19．从2016年7月1日起，船闸收费在现行收费标准的基础上下调10%，降费期限暂定3年。</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20．帮助企业开拓市场。支持企业参加县政府组织的各类展销活动或参与境外展销，给予参展企业每次最高2个标准展位费、2个参展人员的食宿和交通费用的补助，每个企业每年最多补助5万元。</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21．积极推广多式联运、甩挂运输，减少货运车辆空载率，降低燃料消耗。鼓励从事车货匹配的物流信息平台类企业发展，建设物流公共信息平台，提高物流运行信息化、智能化水平；支持重大物流基地、城乡物流配送中心建设，完善全县物流综合服务网络，促进公路、铁路、水路等运输方式有效衔接。</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县直各有关部门自本实施意见下发之日起1个月内制定具体实施细则，包括执行主体、执行对象、工作流程、执行时间等。县政府督查室要会同县经信委、发改委（物价局）、财政局等部门加强跟踪督查。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lastRenderedPageBreak/>
        <w:t>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附件：降成本减轻实体经济企业负担任务分工</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 xml:space="preserve">2016年8月15日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24"/>
          <w:szCs w:val="24"/>
        </w:rPr>
        <w:br/>
      </w:r>
      <w:r w:rsidRPr="00A6134F">
        <w:rPr>
          <w:rFonts w:ascii="微软雅黑" w:eastAsia="微软雅黑" w:hAnsi="微软雅黑" w:cs="宋体" w:hint="eastAsia"/>
          <w:color w:val="454545"/>
          <w:kern w:val="0"/>
          <w:sz w:val="30"/>
          <w:szCs w:val="30"/>
        </w:rPr>
        <w:t>附件</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 </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降成本减轻实体经济企业负担任务分工</w:t>
      </w:r>
    </w:p>
    <w:p w:rsidR="00A6134F" w:rsidRPr="00A6134F" w:rsidRDefault="00A6134F" w:rsidP="00A6134F">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A6134F">
        <w:rPr>
          <w:rFonts w:ascii="微软雅黑" w:eastAsia="微软雅黑" w:hAnsi="微软雅黑" w:cs="宋体" w:hint="eastAsia"/>
          <w:color w:val="454545"/>
          <w:kern w:val="0"/>
          <w:sz w:val="30"/>
          <w:szCs w:val="3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436"/>
        <w:gridCol w:w="4246"/>
        <w:gridCol w:w="1030"/>
        <w:gridCol w:w="1858"/>
      </w:tblGrid>
      <w:tr w:rsidR="00A6134F" w:rsidRPr="00A6134F" w:rsidTr="00A6134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分类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序号</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主要内容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牵头</w:t>
            </w:r>
          </w:p>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单位</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配合单位</w:t>
            </w:r>
          </w:p>
        </w:tc>
      </w:tr>
      <w:tr w:rsidR="00A6134F" w:rsidRPr="00A6134F" w:rsidTr="00A6134F">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降低制度性交易成本</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继续深化“放管服”改革，简政放权，激发活力，持续推进商事制度改革，在全面落实“三证合一、一照一码”的基础上，推行“五证合一、一照一码”，年内实现个体工商户的营业执照、税务登记证 “两</w:t>
            </w:r>
            <w:r w:rsidRPr="00A6134F">
              <w:rPr>
                <w:rFonts w:ascii="微软雅黑" w:eastAsia="微软雅黑" w:hAnsi="微软雅黑" w:cs="宋体" w:hint="eastAsia"/>
                <w:color w:val="333333"/>
                <w:kern w:val="0"/>
                <w:sz w:val="30"/>
                <w:szCs w:val="30"/>
              </w:rPr>
              <w:lastRenderedPageBreak/>
              <w:t>证合一”。完善政府权力清单、责任清单和涉企收费清单，建立公共服务清单和中介服务清单，实行清单之外无收费。</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县编办</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县法制办、发改委（物价局）、</w:t>
            </w:r>
          </w:p>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市场监督局、国税局、地税局</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剥离依附行政机关的中介服务机构，清理和取消中介服务机构承担的行政职能，行政审批部门所属事业单位、主管的社会组织及其举办的企业不得开展与本部门行政审批相关的中介服务，需要开展的应转企改制，或与主管部门脱钩。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县编办</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县发改委（物价局）、民政局、财政局、行政服务中心</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严禁行政机关指定中介服务，打破公共服务和中介服务垄断。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县编办</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县发改委（物价局）、民政局、法制办、市场监督管理局</w:t>
            </w:r>
          </w:p>
        </w:tc>
      </w:tr>
      <w:tr w:rsidR="00A6134F" w:rsidRPr="00A6134F" w:rsidTr="00A6134F">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降低企业</w:t>
            </w:r>
            <w:r w:rsidRPr="00A6134F">
              <w:rPr>
                <w:rFonts w:ascii="微软雅黑" w:eastAsia="微软雅黑" w:hAnsi="微软雅黑" w:cs="宋体" w:hint="eastAsia"/>
                <w:color w:val="333333"/>
                <w:kern w:val="0"/>
                <w:sz w:val="30"/>
                <w:szCs w:val="30"/>
              </w:rPr>
              <w:lastRenderedPageBreak/>
              <w:t>人工成本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落实国家阶段性下调社保费率政策，企业职工基本养老保险</w:t>
            </w:r>
            <w:r w:rsidRPr="00A6134F">
              <w:rPr>
                <w:rFonts w:ascii="微软雅黑" w:eastAsia="微软雅黑" w:hAnsi="微软雅黑" w:cs="宋体" w:hint="eastAsia"/>
                <w:color w:val="333333"/>
                <w:kern w:val="0"/>
                <w:sz w:val="30"/>
                <w:szCs w:val="30"/>
              </w:rPr>
              <w:lastRenderedPageBreak/>
              <w:t>单位缴费费率降低至19%，失业保险单位缴费费率从1.5%下调至1%。进一步减轻符合条件的小微企业社会保险缴费负担。</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县人社局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县财政局、地税局</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住房公积金缴存比例上限降低至12%，缴存基数上限降低至设区城市上一年度月平均工资的3倍。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市住房公积金管理中心蒙城管理部</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县住建委、财政局、人行蒙城县支行</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降低企业引进高科技人才成本，对企业引进科技人才年薪达20-150万元，并在我县缴纳个人所得税、工作半年以上、经推荐和公示无异议的，县每年按其年薪10%的比例奖励用人单位（150万元以上部分不予奖励），专项用于企业科技研发。奖励资金除省财政承担的30%和市财政承担的部分外，由县财政承担。</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县科技局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县财政局、人社局</w:t>
            </w:r>
          </w:p>
        </w:tc>
      </w:tr>
      <w:tr w:rsidR="00A6134F" w:rsidRPr="00A6134F" w:rsidTr="00A6134F">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降低企业税费负担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全面落实固定资产加速折旧政策。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县财政局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县国税局、地税局、经信委</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按国家有关规定，对符合条件的小微企业，免征教育费附加、地方教育附加、水利建设基金、文化事业建设费和残疾人就业保障金，执行时间至2017年12月31日止。</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县地税局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县发改委（物价局）、财政局、国税局、教育局、水务局、文体旅游局、残联</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工业生产厂房及其配套设施免收人防工程易地建设费，厂区范围内直接为工业生产服务的其他配套设施人防工程易地建设费2016-2020年暂不征收。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县人防办</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县财政局</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对上一年度未拖欠农民工工资的建筑施工民营企业，当年农民工工资保证金减按50%收取，连续两年未拖欠的减按</w:t>
            </w:r>
            <w:r w:rsidRPr="00A6134F">
              <w:rPr>
                <w:rFonts w:ascii="微软雅黑" w:eastAsia="微软雅黑" w:hAnsi="微软雅黑" w:cs="宋体" w:hint="eastAsia"/>
                <w:color w:val="333333"/>
                <w:kern w:val="0"/>
                <w:sz w:val="30"/>
                <w:szCs w:val="30"/>
              </w:rPr>
              <w:lastRenderedPageBreak/>
              <w:t>40%收取，连续3年以上未拖欠的免缴保证金。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县住建委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县人社局</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对已认定的高新技术企业减按15%的税率征收企业所得税，并对研发费用按150%加计扣除。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县科技局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县国税局、地税局</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对已经认定的县外高新技术企业转移到我县落户的，有效期内不再重新认定，并享受高新技术企业政策。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县科技局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县国税局、地税局</w:t>
            </w:r>
          </w:p>
        </w:tc>
      </w:tr>
      <w:tr w:rsidR="00A6134F" w:rsidRPr="00A6134F" w:rsidTr="00A6134F">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降低企业财务成本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大力推动企业股份制改造，增加资本金，降低负债率。鼓励有条件的企业发行中长期债券，降低财务费用。建立现代企业后备资源库，鼓励企业进行股份制改造。企业完成改制、重组，变更为股份制有限公司的（以工商注册登记为准），一次性奖励20万元；完成股份制改造的企业优先纳入上市（挂牌）后备资源库，完</w:t>
            </w:r>
            <w:r w:rsidRPr="00A6134F">
              <w:rPr>
                <w:rFonts w:ascii="微软雅黑" w:eastAsia="微软雅黑" w:hAnsi="微软雅黑" w:cs="宋体" w:hint="eastAsia"/>
                <w:color w:val="333333"/>
                <w:kern w:val="0"/>
                <w:sz w:val="30"/>
                <w:szCs w:val="30"/>
              </w:rPr>
              <w:lastRenderedPageBreak/>
              <w:t>成股份制改造纳入上市（挂牌）后备资源库并在县金融办登记备案的企业，县政府将在企业用工、用地、财政资金扶持、政府基金投资及融资方面给予优先考虑。鼓励县内具备发债条件的优质企业发行中长期债券（5年以上），企业通过发债实现直接融资，且所融资金全部用于县域内项目建设和生产的，县政府将按直接融资总额的1%、最高不超过50万元的标准给予奖励（参照蒙政秘〔2016〕18号文件执行）。</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县金融办</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县发改委、经信委、人行蒙城县支行</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清理和规范金融机构的资金“通道”和“过桥”等环节收费，取消与贷款挂钩、没有实质性服务内容的顾问、咨询等收费项目；规范与贷款挂钩的评估、登记、审计、公证、保险等中介机构收费行为，企业自主选择中介机构，金融机构</w:t>
            </w:r>
            <w:r w:rsidRPr="00A6134F">
              <w:rPr>
                <w:rFonts w:ascii="微软雅黑" w:eastAsia="微软雅黑" w:hAnsi="微软雅黑" w:cs="宋体" w:hint="eastAsia"/>
                <w:color w:val="333333"/>
                <w:kern w:val="0"/>
                <w:sz w:val="30"/>
                <w:szCs w:val="30"/>
              </w:rPr>
              <w:lastRenderedPageBreak/>
              <w:t>不得指定；清理取消质价不符和无实质性内容的收费项目。每半年组织开展银行业收费专项检查。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县发改委（物价局）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县金融办、人行蒙城县支行</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15</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大力推进“4321”政银担风险分担机制和“税融通”业务，将国有融资担保机构的贷款担保费率降低至不超过1.2%，降低费用期限暂定3年。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县金融办</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县财政局、经信委、地税局、国税局、人行蒙城县支行</w:t>
            </w:r>
          </w:p>
        </w:tc>
      </w:tr>
      <w:tr w:rsidR="00A6134F" w:rsidRPr="00A6134F" w:rsidTr="00A6134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降低企业财务成本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16</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开展企业应收账款资金占用压降行动，制定实施应收账款质押、转让融资业务管理办法，鼓励建立应收账款质押融资服务平台，支持商业银行开展应收账款质押融资业务；利用全国统一信用信息共享交换平台，完善守信联合激励和失信联合惩戒制度，对守信企业提供公共服务、市场交易和投融资等便利，对失信企业依法严格约束和限制。建立企业应收</w:t>
            </w:r>
            <w:r w:rsidRPr="00A6134F">
              <w:rPr>
                <w:rFonts w:ascii="微软雅黑" w:eastAsia="微软雅黑" w:hAnsi="微软雅黑" w:cs="宋体" w:hint="eastAsia"/>
                <w:color w:val="333333"/>
                <w:kern w:val="0"/>
                <w:sz w:val="30"/>
                <w:szCs w:val="30"/>
              </w:rPr>
              <w:lastRenderedPageBreak/>
              <w:t>账款统计台账，搭建银企合作平台，加强应收账款质押服务平台的宣传推介，支持银行业金融机构发放应收账款质押贷款，县财政按照贷款发生额的0.5%－1%对银行业金融机构进行奖励。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县金融办</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县发改委、经信委、人行蒙城县支行</w:t>
            </w:r>
          </w:p>
        </w:tc>
      </w:tr>
      <w:tr w:rsidR="00A6134F" w:rsidRPr="00A6134F" w:rsidTr="00A6134F">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17</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对获得省级标准化示范企业、质量标杆示范企业、工业品牌培育试点企业、节能节水试点企业、中小企业公共服务示范平台、专精特新中小企业、小微企业创业基地、新型工业化产业示范基地的企业，给予一次性10万元的奖励。对认定的国家级上述单位，给予一次性30万元的奖励。积极支持企业申报上述国家、省级各类示范试点，对符合申报条件且按要求积极申报，并通过市初审的企业，给予5万元、2万元的补助。</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县经信委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县财政局、开发区</w:t>
            </w:r>
          </w:p>
        </w:tc>
      </w:tr>
      <w:tr w:rsidR="00A6134F" w:rsidRPr="00A6134F" w:rsidTr="00A6134F">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降低企业用能用地成本 </w:t>
            </w:r>
          </w:p>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18</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不断降低企业的用电成本。支持和帮助电力用户与发电企业直接交易，不断扩大直接交易企业的数量和规模。对全县的规模工业企业用电增量部分进行补助，凡是我县规模工业企业年主营业务收入增幅较上一年增长10%以上的，按企业季度用电量进行核算，对其用电增量部分进行补助，每度电补助0.08元；新进规模工业企业，按季度工业用电量的10%作为增量部分进行补助，每度电补助0.08元。补助时间为2016年7月1日至2017年6月30日。</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县经信委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县发改委、财政局、供电公司</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19</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推动大用户直供气试点，实行大用户直供气的用气价格由双方协商确定，并确保价格有所降低。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县发改委（物价局）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县住建委、海特燃气公司</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20</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大力推广合同能源管理模式。支持工商企业与专业的节能服务公司合作，开展合同能源管理，实施节能技术改造。凡是年节能量在300吨标煤以上的企业，按每吨标煤300元的标准给予补助，最高补助20万元。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县经信委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县发改委</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21</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鼓励工业企业节约集约用地，对上一年度亩均缴纳税收5万元以上的企业，土地使用税按最低标准征收，原定奖励等政策继续执行。奖励资金在地税部门征税后1个月内，由县级财政部门拨付到位。对企业缴纳的土地使用税、房产税，根据项目年度亩均税收给予相应扶持，独立选址供地并建成投产的工业项目，自约定建设期满之日起五年内，给予相应扶持。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县财政局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县开发区、招商局、国税局、地税局</w:t>
            </w:r>
          </w:p>
        </w:tc>
      </w:tr>
      <w:tr w:rsidR="00A6134F" w:rsidRPr="00A6134F" w:rsidTr="00A6134F">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降低企业物流成本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22</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从2016年7月1日起，船闸收费在现行收费标准的基础上下调10%，降费期限暂定3年。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县水务局</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县发改委（物价局）、蒙城闸管理处</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23</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帮助企业开拓市场。支持企业参加县政府组织的各类展销活动或参与境外展销，给予参展企业每次最高2个标准展位费、2个参展人员的食宿和交通费用的补助，每个企业每年最多补助5万元。</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县经信委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县商务局</w:t>
            </w:r>
          </w:p>
        </w:tc>
      </w:tr>
      <w:tr w:rsidR="00A6134F" w:rsidRPr="00A6134F" w:rsidTr="00A6134F">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A6134F" w:rsidRPr="00A6134F" w:rsidRDefault="00A6134F" w:rsidP="00A6134F">
            <w:pPr>
              <w:widowControl/>
              <w:jc w:val="left"/>
              <w:rPr>
                <w:rFonts w:ascii="微软雅黑" w:eastAsia="微软雅黑" w:hAnsi="微软雅黑" w:cs="宋体"/>
                <w:color w:val="333333"/>
                <w:kern w:val="0"/>
                <w:szCs w:val="21"/>
              </w:rPr>
            </w:pP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24</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积极推广多式联运、甩挂运输，提升货运车辆车辆技术状况，减少货运车辆空载率，降低燃料消耗。鼓励从事车货匹配的物流信息平台类企业发展，建设物流公共信息平台，提高物流运行信息化、智能化水平；支持重大物流基地、城乡物流配送中心建设，完善全县物流综合服务网络，促进公</w:t>
            </w:r>
            <w:r w:rsidRPr="00A6134F">
              <w:rPr>
                <w:rFonts w:ascii="微软雅黑" w:eastAsia="微软雅黑" w:hAnsi="微软雅黑" w:cs="宋体" w:hint="eastAsia"/>
                <w:color w:val="333333"/>
                <w:kern w:val="0"/>
                <w:sz w:val="30"/>
                <w:szCs w:val="30"/>
              </w:rPr>
              <w:lastRenderedPageBreak/>
              <w:t>路、铁路、水路等运输方式有效衔接。 </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lastRenderedPageBreak/>
              <w:t>县发改委</w:t>
            </w:r>
          </w:p>
        </w:tc>
        <w:tc>
          <w:tcPr>
            <w:tcW w:w="0" w:type="auto"/>
            <w:tcBorders>
              <w:top w:val="single" w:sz="6" w:space="0" w:color="666666"/>
              <w:left w:val="single" w:sz="6" w:space="0" w:color="666666"/>
              <w:bottom w:val="single" w:sz="6" w:space="0" w:color="666666"/>
              <w:right w:val="single" w:sz="6" w:space="0" w:color="666666"/>
            </w:tcBorders>
            <w:tcMar>
              <w:top w:w="0" w:type="dxa"/>
              <w:left w:w="0" w:type="dxa"/>
              <w:bottom w:w="0" w:type="dxa"/>
              <w:right w:w="0" w:type="dxa"/>
            </w:tcMar>
            <w:vAlign w:val="center"/>
            <w:hideMark/>
          </w:tcPr>
          <w:p w:rsidR="00A6134F" w:rsidRPr="00A6134F" w:rsidRDefault="00A6134F" w:rsidP="00A6134F">
            <w:pPr>
              <w:widowControl/>
              <w:jc w:val="center"/>
              <w:rPr>
                <w:rFonts w:ascii="微软雅黑" w:eastAsia="微软雅黑" w:hAnsi="微软雅黑" w:cs="宋体" w:hint="eastAsia"/>
                <w:color w:val="333333"/>
                <w:kern w:val="0"/>
                <w:szCs w:val="21"/>
              </w:rPr>
            </w:pPr>
            <w:r w:rsidRPr="00A6134F">
              <w:rPr>
                <w:rFonts w:ascii="微软雅黑" w:eastAsia="微软雅黑" w:hAnsi="微软雅黑" w:cs="宋体" w:hint="eastAsia"/>
                <w:color w:val="333333"/>
                <w:kern w:val="0"/>
                <w:sz w:val="30"/>
                <w:szCs w:val="30"/>
              </w:rPr>
              <w:t>县交通运输局、商务局、国税局、地税局</w:t>
            </w:r>
          </w:p>
        </w:tc>
      </w:tr>
    </w:tbl>
    <w:p w:rsidR="00EF05CF" w:rsidRPr="00A6134F" w:rsidRDefault="00EF05CF">
      <w:bookmarkStart w:id="0" w:name="_GoBack"/>
      <w:bookmarkEnd w:id="0"/>
    </w:p>
    <w:sectPr w:rsidR="00EF05CF" w:rsidRPr="00A61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DB"/>
    <w:rsid w:val="001D3DDB"/>
    <w:rsid w:val="00A6134F"/>
    <w:rsid w:val="00EF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9F6DB-24E0-48FD-8EDE-13177015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34F"/>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535781">
      <w:bodyDiv w:val="1"/>
      <w:marLeft w:val="0"/>
      <w:marRight w:val="0"/>
      <w:marTop w:val="0"/>
      <w:marBottom w:val="0"/>
      <w:divBdr>
        <w:top w:val="none" w:sz="0" w:space="0" w:color="auto"/>
        <w:left w:val="none" w:sz="0" w:space="0" w:color="auto"/>
        <w:bottom w:val="none" w:sz="0" w:space="0" w:color="auto"/>
        <w:right w:val="none" w:sz="0" w:space="0" w:color="auto"/>
      </w:divBdr>
      <w:divsChild>
        <w:div w:id="126243010">
          <w:marLeft w:val="0"/>
          <w:marRight w:val="0"/>
          <w:marTop w:val="0"/>
          <w:marBottom w:val="0"/>
          <w:divBdr>
            <w:top w:val="single" w:sz="6" w:space="8" w:color="F5F5F5"/>
            <w:left w:val="single" w:sz="6" w:space="8" w:color="F5F5F5"/>
            <w:bottom w:val="single" w:sz="6" w:space="8" w:color="F5F5F5"/>
            <w:right w:val="single" w:sz="6" w:space="8" w:color="F5F5F5"/>
          </w:divBdr>
          <w:divsChild>
            <w:div w:id="2099474497">
              <w:marLeft w:val="0"/>
              <w:marRight w:val="0"/>
              <w:marTop w:val="0"/>
              <w:marBottom w:val="225"/>
              <w:divBdr>
                <w:top w:val="none" w:sz="0" w:space="0" w:color="auto"/>
                <w:left w:val="none" w:sz="0" w:space="0" w:color="auto"/>
                <w:bottom w:val="none" w:sz="0" w:space="0" w:color="auto"/>
                <w:right w:val="none" w:sz="0" w:space="0" w:color="auto"/>
              </w:divBdr>
              <w:divsChild>
                <w:div w:id="19584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2018-05-10T08:54:00Z</dcterms:created>
  <dcterms:modified xsi:type="dcterms:W3CDTF">2018-05-10T08:55:00Z</dcterms:modified>
</cp:coreProperties>
</file>