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B1" w:rsidRPr="00F750B1" w:rsidRDefault="00F750B1" w:rsidP="00F750B1">
      <w:pPr>
        <w:widowControl/>
        <w:shd w:val="clear" w:color="auto" w:fill="FFFFFF"/>
        <w:spacing w:line="390" w:lineRule="atLeast"/>
        <w:jc w:val="left"/>
        <w:rPr>
          <w:rFonts w:ascii="宋体" w:eastAsia="宋体" w:hAnsi="宋体" w:cs="宋体"/>
          <w:color w:val="333333"/>
          <w:kern w:val="0"/>
          <w:szCs w:val="21"/>
        </w:rPr>
      </w:pPr>
      <w:r w:rsidRPr="00F750B1">
        <w:rPr>
          <w:rFonts w:ascii="宋体" w:eastAsia="宋体" w:hAnsi="宋体" w:cs="宋体" w:hint="eastAsia"/>
          <w:color w:val="333333"/>
          <w:kern w:val="0"/>
          <w:szCs w:val="21"/>
        </w:rPr>
        <w:t>濉溪县、各区人民政府，市政府各部门、各直属机构：</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战略性新兴产业集聚发展基地是我市调转促工作的切入点和突破口，更是我市产业发展、城市转型的重要抓手和主要任务。为全面贯彻《安徽省人民政府关于加快建设战略性新兴产业集聚发展基地的意见》（皖政〔2015〕48号），落实省、市调转促行动计划精神，加快产业集聚发展，打造精良产业，建设精致淮北，市政府决定加快建设战略性新兴产业集聚发展基地。现提出如下意见：</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一、指导思想</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深入贯彻落实党的十八大和十八届五中全会精神，认真学习贯彻习近平总书记系列讲话精神，坚持以企业为主体，以市场为导向，以产业集聚为目的，充分发挥各园区产业发展的比较优势，掌握核心关键技术，完善产业链条，推进重大项目建设，引进培育一批与我市战略性新兴产业相关的，具有世界一流、全国全省影响力的龙头企业，打造一批特色鲜明、竞争力强的战略性新兴产业集聚发展基地，发挥其对全市工业经济结构调整、转型升级的引领作用。</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二、总体目标</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根据“战略思维、遵循规律、立足现有、放眼前沿、市场引领、政策支持”的基本原则，坚持高水平起步、高标准要求，建设各具特色、产业集中的战略性新兴产业集聚发展基地，实现城市转型发展战略目标。“十三五”期间，以争创省战略性新兴产业集聚发展基地为抓手，着力打造新型煤化工、电子信息、高端金属材料、绿色食品、高端装备制造、现代服务业等战略性新兴产业集群，凸显主导产业地位。到2020年总产值达到2800亿元。</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三、基地条件</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1. 产业领域。符合国家、省提升制造业竞争力和加快发展现代服务业的战略方向，具有广阔成长空间，能明显带动我市产业转型升级的战略性新兴产业。产值、税收占园区主导地位，支撑区县工业经济持续健康发展的产业。</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2. 产业基础。园区内已经形成较为完整的产业链或初具规模的产业集群，公共服务体系相对完善，水电路网和污染物处理等基础设施较为完备。</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3. 龙头企业。园区内拥有（或者近期有明确投资意向）1家或几家位于产业链核心或关键环节、产品产值、质量、性能在业内位居前列、对上下游企业具有较强辐射带动作用的优势骨干企业，且为高新技术企业。</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4. 创新能力。园区至少拥有1家省级以上申报产业领域的创新平台，包括重点（工程）实验室、工程（技术）研究中心、质检中心、企业技术中心、工业设计中心。产业创新创业团队、领军人才在业内有较强影响力。园区内拥有公共科技服务机构。</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5. 项目支撑。园区要有围绕产业链关键环节的重大项目，其单体固定资产（不含土地，下同）投资规模不低于1亿元（自主创新类项目可适当放宽限制）。项目已开工或者</w:t>
      </w:r>
      <w:r w:rsidRPr="00F750B1">
        <w:rPr>
          <w:rFonts w:ascii="宋体" w:eastAsia="宋体" w:hAnsi="宋体" w:cs="宋体" w:hint="eastAsia"/>
          <w:color w:val="333333"/>
          <w:kern w:val="0"/>
          <w:szCs w:val="21"/>
        </w:rPr>
        <w:lastRenderedPageBreak/>
        <w:t>具备当年开工条件，前期手续齐备，建设资金落实，建设周期原则上不超过2年。优先支持当年可竣工投产项目。</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四、主要任务</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坚持发展是第一要务，以提高发展质量和效益为中心，着力培育龙头企业、推进重大项目、增强创新能力，加快战略性新兴产业集聚发展。到2017年，单个基地的产业链上下游企业总产值达到300亿元或三年（2015—2018年）翻一番，税收累计增长不低于50%。到2020年，单个基地的产业链上下游企业总产值超过600亿元或三年再翻一番，税收累计增长不低于30%。主要完成以下任务：</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（一）建设战略性新兴产业集聚发展基地。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1. 建设煤基合成材料产业集聚发展基地。安徽（淮北）新型煤化工合成材料基地管委会，以焦化项目为基础，对焦化副产物精深加工和循环利用，重点建设甲醇和烯烃、芳烃及下游合成材料、高端精细化工、专用化学品等项目，不断延伸煤电化产业链，向高端化、精细化发展，构建以先进合成材料为主导的产业链条，实现产业链的上下游一体化及相关产业横向耦合。将基地打造成为“产业规模一流、技术装备一流、产业链完整性一流、管理服务一流、绿色循环发展一流”的新型煤基合成材料基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2. 建设高端铝基材料产业集聚发展基地。濉溪经济开发区围绕2个产业链（即：传统建筑铝基材料—变形铝合金—铝精深加工产品链—进入再生铝循环产业链。铝精深加工—铝基新材料—高强度、韧性铝合金材料—铝塑复合材料），集中力量发展铝基新材料和高端装备制造铝合金铝基新材料。建成国家新型铝产业循环发展示范区、安徽高性能铝基新材料战略性新兴产业发展示范区，成为全省乃至全国有重要影响力的新兴产业生产基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3. 建设绿色食品产业集聚发展基地。凤凰山经济开发区构建先进安全、质量稳定、可追溯的绿色食品全产业链，逐步向生物科技产业发展。一是产业发展方式从传统食品工业向全产业链覆盖转变，挖掘食品工业的文化内涵，加强产业配套。二是区域发展方式从各自独立的经济开发区向综合性产业新城转变，逐步把淮北打造成为中国食品名城。以绿色食品加工为重点，主攻粮食加工、果蔬及饮料加工、肉类及乳制品加工、方便食品加工和生物保健品及中药保健品生产五个集群。</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4. 建设电子信息产业聚集发展基地。淮北经济开发区、烈山经济开发区建设淮北市电子信息产业集聚发展基地，重点发展智能终端、物联网、电子行业、核心电子元器件、新型电子材料等领域，引进培育龙头企业、骨干企业、上下游配套企业，进一步完善电子信息产业链。</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5. 建设生物医药产业集聚发展基地。淮北经济开发区聚焦生物药、化学新药与现代中药，巩固提升制药产业集群；瞄准诊疗设备、体外诊断与医用材料，培育医疗器械产业集群；紧盯养生产品与健康服务，构建大健康产业集群。</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lastRenderedPageBreak/>
        <w:t>6. 建设高端装备制造产业集聚发展基地。杜集经济开发区依托矿机装备制造产业基础，发展高端成套矿机装备，进一步向现代农业装备、电力机械、环保设备、机器人、节能环保、安全装备等高端成套装备制造产业拓展，重点扶持具有自主创新能力、生命力强、市场前景好的中小型企业，为大型高端设备企业提供配套，延伸高端设备产业链条。</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7. 建设现代服务业产业集聚发展基地。结合我市现代服务业发展态势，突出特色，促进服务业大发展。烈山经济开发区依托传化公路港物流加快建设现代物流产业集聚发展基地；淮矿集团通过相王健康公司大力发展健康服务（养老）产业集聚基地；同时通过要素集聚，促进职教园区职业教育、相山区电子商务以及我市文化旅游、现代金融等服务业发展，打造现代服务业产业集聚发展基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二）引进培育龙头企业。产业基地通过招商引资，依托重大项目，培育和引进一批具有自主知识产业、创新能力强、发展潜力大，在全国、全省范围内有影响的龙头企业，增强产业集聚能力，突出龙头带动作用，形成一批配套企业，建成战略性新兴产业集聚发展基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三）增强创新能力。围绕我市战略性新兴产业基地，新建一批创新平台。到2018年，力争省级创新平台基地全覆盖；到2020年，每个基地要新增2家省级以上创新平台，包括重点（工程）实验室、工程（技术）研究中心、质检中心、企业技术中心、工业设计中心。产业创业、创新团队、领军人才要在业内有较强影响力。</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四）实施重大项目。以实施重大项目为抓手，促进战略性新兴产业集聚发展。要围绕产业升级改造，引进先进适用技术和产品，谋划实施一批促进产业结构升级的项目；围绕产业链完善，谋划实施一批基地关键补链、延长产业链项目；围绕产业整体水平的提升，谋划实施一批高端项目，提升产业质量。</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五、保障措施</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一）成立领导小组。成立市战略性新兴产业集聚发展基地领导小组，领导小组办公室设在市发改委，统筹我市战略性新兴产业集聚发展基地建设的协调调度工作。市直有关单位要各负其责，加强指导，在政策、资金、技术等方面予以集中支持。县区政府及各开发园区是产业集聚发展基地的实施主体，要细化目标任务，制定强有力的推进措施。各基地要成立领导小组，定期研究解决产业集聚发展工作，完成基地建设任务。</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二）发挥专项基金对战略性新兴产业集聚发展的引导作用。我市已经出台《淮北市政府产业投资引导基金管理办法（试行）》（淮政办〔2015〕9号）、《淮北市财政资金“借转补”管理办法（试行）》（淮政办〔2015〕10号）、《淮北市扶持产业发展专项资金使用管理暂行办法》（淮政办〔2015〕11号）等支持产业发展的政策。为进一步发挥我市专项资金和产业引导基金导向作用，对基地龙头企业引进、产业链关键补链项目、关键技术产业化、各类创新平台建设及其他可以促进我市新的产业形成的重大建设项目给予支持。同时，结合我市5大产业集聚发展基地，设立专项基金。重点支持以下几个方面：</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lastRenderedPageBreak/>
        <w:t>1. 支持龙头企业做大做强。对基地内已进入上市辅导期企业的固定资产投资额1亿元以上的重大项目，按不超过其固定资产投资额20%的比例予以股权投资支持，按市场化运作资金。</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2. 支持招商引资重大项目建设。对固定资产投资额1亿元以上的基地内新落地企业项目，按当年完成固定资产投资额不低于2500万元的10%予以股权投资。上述投资不采取股权投资方式奖励的，可享受“借转补”或“财政贴息”支持，并按有关规定办理。</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3. 支持企业创新发展。对固定资产投资额3000万元以上的基地内企业自主创新类项目，当年完成固定资产投资额不低于2000万元，予以“借转补”或“财政贴息”支持，并按有关规定办理。</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4. 支持创新能力建设。对固定资产投资额1500万元以上的基地内企业关键共性技术研发平台和第三方检验检测平台建设项目，当年完成固定资产投资额不低于1000万元，予以“财政贴息”支持，并按有关规定办理。</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5. 兑现专项资金。对完成基地三年发展目标的，实行事后奖补，从市产业专项引导资金切块给予基地一定的资金支持。</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三）优惠政策向基地倾斜。贯彻落实国家和省支持战略性新兴产业发展的各项优惠政策。优先争取国家和省的各种政策和资金支持，优先支持基地企业开展各类创新平台建设。争取省级预留建设用地指标优先安排解决基地重大项目建设用地。</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四）基地建设实施。基地采取“申报制”，由所在县区组织相关园区申报。园区是推进主体，负责编制基地实施方案，要注重统筹，利用全市资源，推进基地发展。相关县区政府是责任主体，承担基地规划、建设管理和要素保障等任务。基地报市政府审查确定后，在园区加挂“淮北市×××（产业名称）产业集聚发展基地”的牌子，实行“两块牌子、一套人马”。各市级基地要细化年度目标任务，形成量化目标，扎实推进基地建设，确保我市基地目标任务落到实处。</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五）建立考核评价机制。市领导小组每年对基地的实施情况进行考核评比。重点对基地的龙头企业引进、战略性新兴产业集聚发展程度、重大项目建设情况、税收和产值等目标的完成情况进行考核并列入市目标考核内容。</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附件：1. 淮北市加快建设战略性新兴产业集聚发展基地工作领导小组成员名单</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2. 淮北市战略性新兴产业集聚发展基地考核暂行办法</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3. 淮北市战略性新兴产业集聚发展基地考核评价表</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righ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2016年4月13日</w:t>
      </w:r>
    </w:p>
    <w:p w:rsidR="00F750B1" w:rsidRPr="00F750B1" w:rsidRDefault="00F750B1" w:rsidP="00F750B1">
      <w:pPr>
        <w:widowControl/>
        <w:shd w:val="clear" w:color="auto" w:fill="FFFFFF"/>
        <w:spacing w:line="390" w:lineRule="atLeast"/>
        <w:ind w:firstLine="480"/>
        <w:jc w:val="righ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附件1</w:t>
      </w:r>
    </w:p>
    <w:p w:rsidR="00F750B1" w:rsidRPr="00F750B1" w:rsidRDefault="00F750B1" w:rsidP="00F750B1">
      <w:pPr>
        <w:widowControl/>
        <w:shd w:val="clear" w:color="auto" w:fill="FFFFFF"/>
        <w:spacing w:line="390" w:lineRule="atLeast"/>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lastRenderedPageBreak/>
        <w:t> </w:t>
      </w:r>
    </w:p>
    <w:p w:rsidR="00F750B1" w:rsidRPr="00F750B1" w:rsidRDefault="00F750B1" w:rsidP="00F750B1">
      <w:pPr>
        <w:widowControl/>
        <w:shd w:val="clear" w:color="auto" w:fill="FFFFFF"/>
        <w:spacing w:line="390" w:lineRule="atLeast"/>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jc w:val="center"/>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淮北市加快建设战略性新兴产业集聚发展基地工作领导小组成员名单</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为加快推进建设战略性新兴产业集聚发展基地，落实我市“调转促496”行动计划，市政府决定成立淮北市加快战略性新兴产业集聚发展基地工作领导小组。其成员名单如下：</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组　长：沈光继  市委常委、常务副市长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副组长：朱浩东  市委常委、副市长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成　员：朱德海  市政府副秘书长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刘  超  市政府副秘书长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李令安  市发展改革委（物价局）主任（局长）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袁九森  市经信委主任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王淮海  市科技局局长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王治江  市民政局局长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姜  颖  市财政局（国有资产监督管理局）局长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曹宏新  市国土资源局局长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王亚辉  市统计局局长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郭海磊  市环保局局长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孙兴学  市商务局局长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张  辉  市卫生计生委主任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王全军  市招商局局长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何章礼  市国税局局长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戴国琨  市地税局局长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胡  亮  市经济开发区管委会主任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许  炜  安徽（淮北）新型煤化工合成材料基地管委会常务副主任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宋愚贤  市发展改革委（物价局）副主任（副局长）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顾  俊  市建投集团董事长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赵德志  濉溪县县长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胡启书  相山区区长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徐  涛  杜集区区长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岳军芝  烈山区区长</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杜曙光  濉溪经济开发区主任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郭艳平  凤凰山食品经济开发区主任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许建华  杜集经济开发区主任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lastRenderedPageBreak/>
        <w:t>赵  明  烈山经济开发区主任</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领导小组办公室设在市发展改革委（物价局），李令安同志兼任办公室主任，宋愚贤同志任办公室副主任。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附件2</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center"/>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淮北市战略性新兴产业集聚发展基地考核暂行办法</w:t>
      </w: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为贯彻我市调结构转方式促升级“496”行动计划，进一步做好战略性新兴产业集聚发展基地工作目标管理考核工作，根据市委市政府《关于贯彻〈加快调结构转方式促升级行动计划〉的实施方案》（淮发〔2015〕14）号要求，现制定《淮北市战略性新兴产业集聚发展基地考核暂行办法》。</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一、考核对象</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战略性新兴产业集聚发展基地责任单位。</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二、考核内容及指标</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考核内容包括基地整体经济指标、亿元企业增量、创新平台建设、重大项目建设等目标完成情况，各项基础目标任务完成得100分；超额完成或者没有完成的，得分按比例加减分。</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三、考核组织</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成立市战略性新兴产业集聚发展基地考核评价工作组，由市发展改革委牵头，会同市科技局、市经济和信息化委、市财政局、市人社局、市国土资源局、市环保局、市商务局、市统计局等部门组成。考评工作组办公室遵循公开、公平、公正的原则，于每年3月牵头组织全市战略性新兴产业集聚发展基地的年度考评工作，委托第三方专业机构进行考核测评。对虚报、瞒报、迟报相关材料的参评开发区可酌情扣分，对情节严重的通报批评并追回支持资金。</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四、通报</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每年3月底前，基地考核评价工作组提出上一年度考核评价意见，经市政府审定后，以市政府名义进行通报。考评结果纳入县区目标考核。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附件3</w:t>
      </w:r>
    </w:p>
    <w:p w:rsidR="00F750B1" w:rsidRPr="00F750B1" w:rsidRDefault="00F750B1" w:rsidP="00F750B1">
      <w:pPr>
        <w:widowControl/>
        <w:shd w:val="clear" w:color="auto" w:fill="FFFFFF"/>
        <w:spacing w:line="390" w:lineRule="atLeast"/>
        <w:ind w:firstLine="480"/>
        <w:jc w:val="left"/>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p w:rsidR="00F750B1" w:rsidRPr="00F750B1" w:rsidRDefault="00F750B1" w:rsidP="00F750B1">
      <w:pPr>
        <w:widowControl/>
        <w:shd w:val="clear" w:color="auto" w:fill="FFFFFF"/>
        <w:spacing w:line="390" w:lineRule="atLeast"/>
        <w:ind w:firstLine="480"/>
        <w:jc w:val="center"/>
        <w:rPr>
          <w:rFonts w:ascii="宋体" w:eastAsia="宋体" w:hAnsi="宋体" w:cs="宋体" w:hint="eastAsia"/>
          <w:color w:val="333333"/>
          <w:kern w:val="0"/>
          <w:szCs w:val="21"/>
        </w:rPr>
      </w:pPr>
      <w:r w:rsidRPr="00F750B1">
        <w:rPr>
          <w:rFonts w:ascii="宋体" w:eastAsia="宋体" w:hAnsi="宋体" w:cs="宋体" w:hint="eastAsia"/>
          <w:b/>
          <w:bCs/>
          <w:color w:val="333333"/>
          <w:kern w:val="0"/>
          <w:szCs w:val="21"/>
        </w:rPr>
        <w:t>淮北市战略性新兴产业集聚发展基地考核评价表</w:t>
      </w:r>
    </w:p>
    <w:p w:rsidR="00F750B1" w:rsidRPr="00F750B1" w:rsidRDefault="00F750B1" w:rsidP="00F750B1">
      <w:pPr>
        <w:widowControl/>
        <w:shd w:val="clear" w:color="auto" w:fill="FFFFFF"/>
        <w:spacing w:line="390" w:lineRule="atLeast"/>
        <w:ind w:firstLine="480"/>
        <w:jc w:val="center"/>
        <w:rPr>
          <w:rFonts w:ascii="宋体" w:eastAsia="宋体" w:hAnsi="宋体" w:cs="宋体" w:hint="eastAsia"/>
          <w:color w:val="333333"/>
          <w:kern w:val="0"/>
          <w:szCs w:val="21"/>
        </w:rPr>
      </w:pPr>
      <w:r w:rsidRPr="00F750B1">
        <w:rPr>
          <w:rFonts w:ascii="宋体" w:eastAsia="宋体" w:hAnsi="宋体" w:cs="宋体" w:hint="eastAsia"/>
          <w:color w:val="333333"/>
          <w:kern w:val="0"/>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701"/>
        <w:gridCol w:w="701"/>
        <w:gridCol w:w="3308"/>
        <w:gridCol w:w="702"/>
        <w:gridCol w:w="702"/>
        <w:gridCol w:w="2176"/>
      </w:tblGrid>
      <w:tr w:rsidR="00F750B1" w:rsidRPr="00F750B1" w:rsidTr="00F750B1">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lastRenderedPageBreak/>
              <w:t>类别</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序号</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年度目标</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单位</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分值</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提供部门</w:t>
            </w:r>
          </w:p>
        </w:tc>
      </w:tr>
      <w:tr w:rsidR="00F750B1" w:rsidRPr="00F750B1" w:rsidTr="00F750B1">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基</w:t>
            </w:r>
          </w:p>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础</w:t>
            </w:r>
          </w:p>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分</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产值及增速</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统计、发改、经信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税收及增速</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财政、统计、国税、地税</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占规模以上工业比重</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统计、经信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10亿元、50亿元、100亿元企业个数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统计、经信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5亿元、10亿元重大项目</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发改、经信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固定资产投资增长</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统计、发改、经信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基地高新技术产业产值占工业总产值比重</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科技、发改、经信、统计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创新平台建设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发改、经信、科技</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小  计</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100</w:t>
            </w:r>
          </w:p>
        </w:tc>
      </w:tr>
      <w:tr w:rsidR="00F750B1" w:rsidRPr="00F750B1" w:rsidTr="00F750B1">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加</w:t>
            </w:r>
          </w:p>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分</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获得1个国家级园区各类称号</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发改、科技、商务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获得1个省级园区各类称号</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发改、科技、商务</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增加1个省级创新平台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发改、经信、科技</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增加1个国家级创新平台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个</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发改、经信、科技</w:t>
            </w:r>
          </w:p>
        </w:tc>
      </w:tr>
      <w:tr w:rsidR="00F750B1" w:rsidRPr="00F750B1" w:rsidTr="00F750B1">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F750B1" w:rsidRPr="00F750B1" w:rsidRDefault="00F750B1" w:rsidP="00F750B1">
            <w:pPr>
              <w:widowControl/>
              <w:jc w:val="left"/>
              <w:rPr>
                <w:rFonts w:ascii="宋体" w:eastAsia="宋体" w:hAnsi="宋体" w:cs="宋体"/>
                <w:color w:val="333333"/>
                <w:kern w:val="0"/>
                <w:sz w:val="18"/>
                <w:szCs w:val="18"/>
              </w:rPr>
            </w:pPr>
          </w:p>
        </w:tc>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小  计</w:t>
            </w:r>
          </w:p>
        </w:tc>
        <w:tc>
          <w:tcPr>
            <w:tcW w:w="0" w:type="auto"/>
            <w:gridSpan w:val="3"/>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F750B1" w:rsidRPr="00F750B1" w:rsidRDefault="00F750B1" w:rsidP="00F750B1">
            <w:pPr>
              <w:widowControl/>
              <w:jc w:val="left"/>
              <w:rPr>
                <w:rFonts w:ascii="宋体" w:eastAsia="宋体" w:hAnsi="宋体" w:cs="宋体" w:hint="eastAsia"/>
                <w:color w:val="333333"/>
                <w:kern w:val="0"/>
                <w:sz w:val="18"/>
                <w:szCs w:val="18"/>
              </w:rPr>
            </w:pPr>
            <w:r w:rsidRPr="00F750B1">
              <w:rPr>
                <w:rFonts w:ascii="宋体" w:eastAsia="宋体" w:hAnsi="宋体" w:cs="宋体" w:hint="eastAsia"/>
                <w:color w:val="333333"/>
                <w:kern w:val="0"/>
                <w:sz w:val="18"/>
                <w:szCs w:val="18"/>
              </w:rPr>
              <w:t>35</w:t>
            </w:r>
          </w:p>
        </w:tc>
      </w:tr>
    </w:tbl>
    <w:p w:rsidR="007A5FA4" w:rsidRDefault="007A5FA4">
      <w:bookmarkStart w:id="0" w:name="_GoBack"/>
      <w:bookmarkEnd w:id="0"/>
    </w:p>
    <w:sectPr w:rsidR="007A5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22"/>
    <w:rsid w:val="003B2C22"/>
    <w:rsid w:val="007A5FA4"/>
    <w:rsid w:val="00F7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F4F56-4EA1-4F3D-8C7C-016FA030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0B1"/>
    <w:pPr>
      <w:widowControl/>
      <w:jc w:val="left"/>
    </w:pPr>
    <w:rPr>
      <w:rFonts w:ascii="宋体" w:eastAsia="宋体" w:hAnsi="宋体" w:cs="宋体"/>
      <w:kern w:val="0"/>
      <w:sz w:val="24"/>
      <w:szCs w:val="24"/>
    </w:rPr>
  </w:style>
  <w:style w:type="character" w:styleId="a4">
    <w:name w:val="Strong"/>
    <w:basedOn w:val="a0"/>
    <w:uiPriority w:val="22"/>
    <w:qFormat/>
    <w:rsid w:val="00F7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195662">
      <w:bodyDiv w:val="1"/>
      <w:marLeft w:val="0"/>
      <w:marRight w:val="0"/>
      <w:marTop w:val="0"/>
      <w:marBottom w:val="0"/>
      <w:divBdr>
        <w:top w:val="none" w:sz="0" w:space="0" w:color="auto"/>
        <w:left w:val="none" w:sz="0" w:space="0" w:color="auto"/>
        <w:bottom w:val="none" w:sz="0" w:space="0" w:color="auto"/>
        <w:right w:val="none" w:sz="0" w:space="0" w:color="auto"/>
      </w:divBdr>
      <w:divsChild>
        <w:div w:id="1263107503">
          <w:marLeft w:val="0"/>
          <w:marRight w:val="0"/>
          <w:marTop w:val="0"/>
          <w:marBottom w:val="0"/>
          <w:divBdr>
            <w:top w:val="none" w:sz="0" w:space="0" w:color="auto"/>
            <w:left w:val="none" w:sz="0" w:space="0" w:color="auto"/>
            <w:bottom w:val="none" w:sz="0" w:space="0" w:color="auto"/>
            <w:right w:val="none" w:sz="0" w:space="0" w:color="auto"/>
          </w:divBdr>
          <w:divsChild>
            <w:div w:id="1942369656">
              <w:marLeft w:val="0"/>
              <w:marRight w:val="0"/>
              <w:marTop w:val="0"/>
              <w:marBottom w:val="0"/>
              <w:divBdr>
                <w:top w:val="none" w:sz="0" w:space="0" w:color="auto"/>
                <w:left w:val="none" w:sz="0" w:space="0" w:color="auto"/>
                <w:bottom w:val="none" w:sz="0" w:space="0" w:color="auto"/>
                <w:right w:val="none" w:sz="0" w:space="0" w:color="auto"/>
              </w:divBdr>
              <w:divsChild>
                <w:div w:id="149256490">
                  <w:marLeft w:val="0"/>
                  <w:marRight w:val="0"/>
                  <w:marTop w:val="0"/>
                  <w:marBottom w:val="0"/>
                  <w:divBdr>
                    <w:top w:val="single" w:sz="6" w:space="0" w:color="DDDDDD"/>
                    <w:left w:val="single" w:sz="6" w:space="0" w:color="DDDDDD"/>
                    <w:bottom w:val="single" w:sz="6" w:space="0" w:color="DDDDDD"/>
                    <w:right w:val="single" w:sz="6" w:space="0" w:color="DDDDDD"/>
                  </w:divBdr>
                  <w:divsChild>
                    <w:div w:id="1840777774">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2018-05-15T06:19:00Z</dcterms:created>
  <dcterms:modified xsi:type="dcterms:W3CDTF">2018-05-15T06:19:00Z</dcterms:modified>
</cp:coreProperties>
</file>