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3C" w:rsidRPr="00E83C3C" w:rsidRDefault="00E83C3C" w:rsidP="00E83C3C">
      <w:pPr>
        <w:widowControl/>
        <w:shd w:val="clear" w:color="auto" w:fill="FFFFFF"/>
        <w:spacing w:line="640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无为县招商引资优惠政策（修订）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 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为进一步加大投资促进工作力度，扩大社会有效投资，提高开放型经济水平，不断优化产业结构，促进经济转型升级，根据国家有关法律和经济发展政策，结合实际，制定本政策。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left="1712" w:hanging="108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第一条</w:t>
      </w:r>
      <w:r w:rsidRPr="00E83C3C">
        <w:rPr>
          <w:rFonts w:ascii="Times New Roman" w:eastAsia="黑体" w:hAnsi="Times New Roman" w:cs="Times New Roman"/>
          <w:color w:val="000000"/>
          <w:kern w:val="0"/>
          <w:sz w:val="14"/>
          <w:szCs w:val="14"/>
        </w:rPr>
        <w:t>  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土地供给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对新建工业项目用地，按照规定挂牌出让，土地价格按工业基准价执行。对投资强度达到150万元/亩或一个统计年度税收（不含土地使用税，下同）达到10万元/亩的，按土地出让价格的30%予以奖励；对土地投资强度达到200万元/亩或一个统计年度税收达到20万元/亩的，按土地出让价格的50%予以奖励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第二条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经营贡献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1、工业类、农业类、现代物流类、公益性事业类项目，从企业实现销售收入（含试运营收入）之日起，以其当年申报纳税对地方经济发展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贡献按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前三年100%、后二年50%额度奖励给企业（经济发展贡献奖励不含教育费附加、地方教育附加和城市基础设施配套费，下同）。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lastRenderedPageBreak/>
        <w:t>2、对新引进国内外知名连锁商贸企业、知名企业总部、专业特色市场、商业综合体、旅游开发、文化产业等三产服务业项目，从企业实现销售收入（含试运营收入）之日起，以其当年申报纳税对地方经济发展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贡献按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前两年100%、后三年50%额度奖励给企业。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3、五星级酒店正式运营后，以其当年申报纳税对地方经济发展贡献五年内100%给予奖励。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4、对新引进的总部企业高层管理人员（董事会成员、副总、总监、总工程师等）交纳的个人所得税地方实得部分，前两年给予100%奖励，后三年给予90%奖励。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第三条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proofErr w:type="gramStart"/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固投奖励</w:t>
      </w:r>
      <w:proofErr w:type="gramEnd"/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1、符合我县主导产业及战略性新兴产业，对建设期在2年以内（特别重大项目建设期可顺延），固定资产投资在0.5亿元（含0.5亿元）以上3亿元以下的工业项目，按照固定资产投资额的5%给予奖励；固定资产投资在3亿元（含3亿元）以上的，按照固定资产投资额的10%给予奖励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lastRenderedPageBreak/>
        <w:t>2、对企业投资建设多层厂房经审核符合条件的，两层的每平方米奖励100元，三层的每平方米奖励200元，四层及以上的每平方米奖励300元。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3、对投资五星级酒店项目，按固定资产投资额的10%给予奖励。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4、对现代农业或农业产业化项目固定资产投资在0.3亿元（含0.3亿元）以上1亿元以下的，按照固定资产投资额的5%给予奖励，1亿元（含1亿元）以上的，按照固定资产投资额的10%给予奖励。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第四条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资产重组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投资者收购县内企业资产重组的，参照《无为县关于鼓励和支持电线电缆企业兼并重组的暂行办法》(政办〔2016〕67号文件)规定执行。盘活存量的，参照《无为县盘活存量资产招商引资扶持政策》（政办〔2016〕77号）规定执行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第五条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政策审定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县政府成立以常务副县长、分管招商副县长为正、副组长，法制办、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发改委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、经信委、财政局、审计局、招商局等单位主要负责人为成员的项目审议小组，审议小组负责项目确认、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固投核实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、政策兑现等方面工作。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lastRenderedPageBreak/>
        <w:t>第六条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合同监管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在与投资企业签订《投资合同》时，在投资总额、项目进度、产出经济指标等方面必须有明确的双向约定，园区、开发区必须加强对项目实施过程的跟踪督查。县招商局牵头、县直相关单位参加，县人大依法监督，每半年组织一次对全县招商项目合同履约督查，对招商项目明显不能达到预期设立目标的，必须立即启用政策熔断机制，中止合同，停止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拔付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奖励资金，依法追回奖励、扶持资金，并依法严厉打击骗取、套取财政资金的违法行为。</w:t>
      </w:r>
      <w:r w:rsidRPr="00E83C3C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br/>
      </w:r>
      <w:r w:rsidRPr="00E83C3C">
        <w:rPr>
          <w:rFonts w:ascii="Arial" w:eastAsia="宋体" w:hAnsi="Arial" w:cs="Arial"/>
          <w:color w:val="000000"/>
          <w:kern w:val="0"/>
          <w:sz w:val="36"/>
          <w:szCs w:val="36"/>
        </w:rPr>
        <w:t> </w:t>
      </w: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   </w:t>
      </w:r>
      <w:r w:rsidRPr="00E83C3C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第七条</w:t>
      </w:r>
      <w:r w:rsidRPr="00E83C3C">
        <w:rPr>
          <w:rFonts w:ascii="Calibri" w:eastAsia="黑体" w:hAnsi="Calibri" w:cs="Calibri"/>
          <w:color w:val="000000"/>
          <w:kern w:val="0"/>
          <w:sz w:val="36"/>
          <w:szCs w:val="36"/>
        </w:rPr>
        <w:t>  </w:t>
      </w:r>
      <w:r w:rsidRPr="00E83C3C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附则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1、对产业带动性强、科技含量高的特别重大项目，可给予以上政策之外的特别政策扶持，实行一事一议、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一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企</w:t>
      </w:r>
      <w:proofErr w:type="gramStart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一</w:t>
      </w:r>
      <w:proofErr w:type="gramEnd"/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策。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2、本政策在实施过程中如遇同一事项涉及多项或多次奖励、补助的，按“就高不就低、不重复享受”的原则执行。</w:t>
      </w:r>
    </w:p>
    <w:p w:rsidR="00E83C3C" w:rsidRPr="00E83C3C" w:rsidRDefault="00E83C3C" w:rsidP="00E83C3C">
      <w:pPr>
        <w:widowControl/>
        <w:shd w:val="clear" w:color="auto" w:fill="FFFFFF"/>
        <w:spacing w:line="6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t>3、本政策自2017年7月1日起执行，同时，《关于印发&lt;无为县招商引资优惠政策&gt;的通知》（无发〔2008〕7号）文件自行终止。过去有关政策与本政策不一致的，以本政策为准。如遇国家相关政策调</w:t>
      </w:r>
      <w:r w:rsidRPr="00E83C3C">
        <w:rPr>
          <w:rFonts w:ascii="仿宋_GB2312" w:eastAsia="仿宋_GB2312" w:hAnsi="Arial" w:cs="Arial" w:hint="eastAsia"/>
          <w:color w:val="000000"/>
          <w:kern w:val="0"/>
          <w:sz w:val="36"/>
          <w:szCs w:val="36"/>
        </w:rPr>
        <w:lastRenderedPageBreak/>
        <w:t>整，该政策及时相应调整。本政策由县招商局负责解释。</w:t>
      </w:r>
    </w:p>
    <w:p w:rsidR="005C37BD" w:rsidRDefault="005C37BD">
      <w:bookmarkStart w:id="0" w:name="_GoBack"/>
      <w:bookmarkEnd w:id="0"/>
    </w:p>
    <w:sectPr w:rsidR="005C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2B"/>
    <w:rsid w:val="005C37BD"/>
    <w:rsid w:val="006E0C2B"/>
    <w:rsid w:val="00E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7FB8-38D5-4A77-B73E-BC17FFF3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3C3C"/>
  </w:style>
  <w:style w:type="character" w:customStyle="1" w:styleId="aa41">
    <w:name w:val="aa41"/>
    <w:basedOn w:val="a0"/>
    <w:rsid w:val="00E8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2018-05-07T08:23:00Z</dcterms:created>
  <dcterms:modified xsi:type="dcterms:W3CDTF">2018-05-07T08:23:00Z</dcterms:modified>
</cp:coreProperties>
</file>