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099A3" w14:textId="77777777" w:rsidR="001C2C73" w:rsidRDefault="001C2C73" w:rsidP="001C2C73">
      <w:pPr>
        <w:pStyle w:val="p0"/>
        <w:spacing w:before="0" w:beforeAutospacing="0" w:after="0" w:afterAutospacing="0" w:line="600" w:lineRule="atLeast"/>
        <w:jc w:val="center"/>
        <w:rPr>
          <w:rFonts w:ascii="Microsoft Yahei" w:hAnsi="Microsoft Yahei"/>
          <w:color w:val="3D3D3D"/>
          <w:sz w:val="23"/>
          <w:szCs w:val="23"/>
        </w:rPr>
      </w:pP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经信发〔2016〕52号</w:t>
      </w:r>
    </w:p>
    <w:p w14:paraId="2142D9F5" w14:textId="77777777" w:rsidR="001C2C73" w:rsidRDefault="001C2C73" w:rsidP="001C2C73">
      <w:pPr>
        <w:pStyle w:val="p18"/>
        <w:spacing w:before="0" w:beforeAutospacing="0" w:after="0" w:afterAutospacing="0" w:line="540" w:lineRule="atLeast"/>
        <w:jc w:val="center"/>
        <w:rPr>
          <w:rFonts w:ascii="Microsoft Yahei" w:hAnsi="Microsoft Yahei"/>
          <w:color w:val="3D3D3D"/>
          <w:sz w:val="23"/>
          <w:szCs w:val="23"/>
        </w:rPr>
      </w:pPr>
      <w:r>
        <w:rPr>
          <w:rStyle w:val="16"/>
          <w:rFonts w:ascii="方正小标宋简体" w:eastAsia="方正小标宋简体" w:hAnsi="Microsoft Yahei" w:hint="eastAsia"/>
          <w:color w:val="000000"/>
          <w:sz w:val="36"/>
          <w:szCs w:val="36"/>
        </w:rPr>
        <w:t>关于印发《淄博市企业技术中心认定管理办法》的通知</w:t>
      </w:r>
      <w:r>
        <w:rPr>
          <w:rFonts w:ascii="方正小标宋简体" w:eastAsia="方正小标宋简体" w:hAnsi="Microsoft Yahei" w:hint="eastAsia"/>
          <w:color w:val="000000"/>
          <w:sz w:val="36"/>
          <w:szCs w:val="36"/>
        </w:rPr>
        <w:t> </w:t>
      </w:r>
    </w:p>
    <w:p w14:paraId="1CB05A62" w14:textId="77777777" w:rsidR="001C2C73" w:rsidRDefault="001C2C73" w:rsidP="001C2C73">
      <w:pPr>
        <w:pStyle w:val="p18"/>
        <w:spacing w:before="0" w:beforeAutospacing="0" w:after="0" w:afterAutospacing="0" w:line="540" w:lineRule="atLeast"/>
        <w:rPr>
          <w:rFonts w:ascii="Microsoft Yahei" w:hAnsi="Microsoft Yahei"/>
          <w:color w:val="3D3D3D"/>
          <w:sz w:val="23"/>
          <w:szCs w:val="23"/>
        </w:rPr>
      </w:pPr>
      <w:r>
        <w:rPr>
          <w:rFonts w:ascii="仿宋_GB2312" w:eastAsia="仿宋_GB2312" w:hAnsi="Microsoft Yahei" w:hint="eastAsia"/>
          <w:color w:val="000000"/>
          <w:sz w:val="32"/>
          <w:szCs w:val="32"/>
        </w:rPr>
        <w:t>各区县经信局，高新区经发局，经济开发区产业发展促进一局，文昌湖旅游度假区经发局，有关企业：</w:t>
      </w:r>
    </w:p>
    <w:p w14:paraId="348814EE" w14:textId="77777777" w:rsidR="001C2C73" w:rsidRDefault="001C2C73" w:rsidP="001C2C73">
      <w:pPr>
        <w:pStyle w:val="p18"/>
        <w:spacing w:before="0" w:beforeAutospacing="0" w:after="0" w:afterAutospacing="0" w:line="540" w:lineRule="atLeast"/>
        <w:ind w:firstLine="640"/>
        <w:rPr>
          <w:rFonts w:ascii="Microsoft Yahei" w:hAnsi="Microsoft Yahei"/>
          <w:color w:val="3D3D3D"/>
          <w:sz w:val="23"/>
          <w:szCs w:val="23"/>
        </w:rPr>
      </w:pPr>
      <w:r>
        <w:rPr>
          <w:rFonts w:ascii="仿宋_GB2312" w:eastAsia="仿宋_GB2312" w:hAnsi="Microsoft Yahei" w:hint="eastAsia"/>
          <w:color w:val="000000"/>
          <w:sz w:val="32"/>
          <w:szCs w:val="32"/>
        </w:rPr>
        <w:t>为适应我市企业技术中心发展需要，</w:t>
      </w:r>
      <w:r>
        <w:rPr>
          <w:rFonts w:ascii="仿宋_GB2312" w:eastAsia="仿宋_GB2312" w:hAnsi="Microsoft Yahei" w:hint="eastAsia"/>
          <w:color w:val="3D3D3D"/>
          <w:sz w:val="32"/>
          <w:szCs w:val="32"/>
        </w:rPr>
        <w:t>充分发挥企业技术中心在我市创新体系和企业创新能力建设中的引导与示范作用，</w:t>
      </w:r>
      <w:r>
        <w:rPr>
          <w:rFonts w:ascii="仿宋_GB2312" w:eastAsia="仿宋_GB2312" w:hAnsi="Microsoft Yahei" w:hint="eastAsia"/>
          <w:color w:val="000000"/>
          <w:sz w:val="32"/>
          <w:szCs w:val="32"/>
        </w:rPr>
        <w:t>根据国家、省有关政策文件及规范性文件备案制度的有关规定要求，市</w:t>
      </w:r>
      <w:proofErr w:type="gramStart"/>
      <w:r>
        <w:rPr>
          <w:rFonts w:ascii="仿宋_GB2312" w:eastAsia="仿宋_GB2312" w:hAnsi="Microsoft Yahei" w:hint="eastAsia"/>
          <w:color w:val="000000"/>
          <w:sz w:val="32"/>
          <w:szCs w:val="32"/>
        </w:rPr>
        <w:t>经信委制定</w:t>
      </w:r>
      <w:proofErr w:type="gramEnd"/>
      <w:r>
        <w:rPr>
          <w:rFonts w:ascii="仿宋_GB2312" w:eastAsia="仿宋_GB2312" w:hAnsi="Microsoft Yahei" w:hint="eastAsia"/>
          <w:color w:val="000000"/>
          <w:sz w:val="32"/>
          <w:szCs w:val="32"/>
        </w:rPr>
        <w:t>了《淄博市企业技术中心认定管理办法》，并经市</w:t>
      </w:r>
      <w:proofErr w:type="gramStart"/>
      <w:r>
        <w:rPr>
          <w:rFonts w:ascii="仿宋_GB2312" w:eastAsia="仿宋_GB2312" w:hAnsi="Microsoft Yahei" w:hint="eastAsia"/>
          <w:color w:val="000000"/>
          <w:sz w:val="32"/>
          <w:szCs w:val="32"/>
        </w:rPr>
        <w:t>经信委主任</w:t>
      </w:r>
      <w:proofErr w:type="gramEnd"/>
      <w:r>
        <w:rPr>
          <w:rFonts w:ascii="仿宋_GB2312" w:eastAsia="仿宋_GB2312" w:hAnsi="Microsoft Yahei" w:hint="eastAsia"/>
          <w:color w:val="000000"/>
          <w:sz w:val="32"/>
          <w:szCs w:val="32"/>
        </w:rPr>
        <w:t>办公会研究通过，现印发给你们，请认真贯彻落实。</w:t>
      </w:r>
    </w:p>
    <w:p w14:paraId="6397B232" w14:textId="77777777" w:rsidR="001C2C73" w:rsidRDefault="001C2C73" w:rsidP="001C2C73">
      <w:pPr>
        <w:pStyle w:val="p18"/>
        <w:spacing w:before="0" w:beforeAutospacing="0" w:after="0" w:afterAutospacing="0" w:line="540" w:lineRule="atLeast"/>
        <w:rPr>
          <w:rFonts w:ascii="Microsoft Yahei" w:hAnsi="Microsoft Yahei"/>
          <w:color w:val="3D3D3D"/>
          <w:sz w:val="23"/>
          <w:szCs w:val="23"/>
        </w:rPr>
      </w:pPr>
      <w:r>
        <w:rPr>
          <w:rFonts w:ascii="仿宋_GB2312" w:eastAsia="仿宋_GB2312" w:hAnsi="Microsoft Yahei" w:hint="eastAsia"/>
          <w:color w:val="000000"/>
          <w:sz w:val="32"/>
          <w:szCs w:val="32"/>
        </w:rPr>
        <w:t>    </w:t>
      </w:r>
      <w:r>
        <w:rPr>
          <w:rFonts w:ascii="仿宋_GB2312" w:eastAsia="仿宋_GB2312" w:hAnsi="Microsoft Yahei" w:hint="eastAsia"/>
          <w:color w:val="000000"/>
          <w:sz w:val="32"/>
          <w:szCs w:val="32"/>
        </w:rPr>
        <w:t>附件：淄博市企业技术中心认定管理办法</w:t>
      </w:r>
    </w:p>
    <w:p w14:paraId="4D9C09CC" w14:textId="77777777" w:rsidR="001C2C73" w:rsidRDefault="001C2C73" w:rsidP="001C2C73">
      <w:pPr>
        <w:pStyle w:val="p18"/>
        <w:spacing w:before="0" w:beforeAutospacing="0" w:after="0" w:afterAutospacing="0" w:line="540" w:lineRule="atLeast"/>
        <w:rPr>
          <w:rFonts w:ascii="Microsoft Yahei" w:hAnsi="Microsoft Yahei"/>
          <w:color w:val="3D3D3D"/>
          <w:sz w:val="23"/>
          <w:szCs w:val="23"/>
        </w:rPr>
      </w:pPr>
      <w:r>
        <w:rPr>
          <w:rFonts w:ascii="仿宋_GB2312" w:eastAsia="仿宋_GB2312" w:hAnsi="Microsoft Yahei" w:hint="eastAsia"/>
          <w:color w:val="000000"/>
          <w:sz w:val="32"/>
          <w:szCs w:val="32"/>
        </w:rPr>
        <w:t>              </w:t>
      </w:r>
    </w:p>
    <w:p w14:paraId="7630A495" w14:textId="77777777" w:rsidR="001C2C73" w:rsidRDefault="001C2C73" w:rsidP="001C2C73">
      <w:pPr>
        <w:pStyle w:val="p18"/>
        <w:spacing w:before="0" w:beforeAutospacing="0" w:after="0" w:afterAutospacing="0" w:line="540" w:lineRule="atLeast"/>
        <w:rPr>
          <w:rFonts w:ascii="Microsoft Yahei" w:hAnsi="Microsoft Yahei"/>
          <w:color w:val="3D3D3D"/>
          <w:sz w:val="23"/>
          <w:szCs w:val="23"/>
        </w:rPr>
      </w:pPr>
      <w:r>
        <w:rPr>
          <w:rFonts w:ascii="仿宋_GB2312" w:eastAsia="仿宋_GB2312" w:hAnsi="Microsoft Yahei" w:hint="eastAsia"/>
          <w:color w:val="000000"/>
          <w:sz w:val="32"/>
          <w:szCs w:val="32"/>
        </w:rPr>
        <w:t>                           </w:t>
      </w:r>
      <w:r>
        <w:rPr>
          <w:rFonts w:ascii="仿宋_GB2312" w:eastAsia="仿宋_GB2312" w:hAnsi="Microsoft Yahei" w:hint="eastAsia"/>
          <w:color w:val="000000"/>
          <w:sz w:val="32"/>
          <w:szCs w:val="32"/>
        </w:rPr>
        <w:t>淄博市经济和信息化委员会</w:t>
      </w:r>
    </w:p>
    <w:p w14:paraId="4326E14A" w14:textId="77777777" w:rsidR="001C2C73" w:rsidRDefault="001C2C73" w:rsidP="001C2C73">
      <w:pPr>
        <w:pStyle w:val="p18"/>
        <w:spacing w:before="0" w:beforeAutospacing="0" w:after="0" w:afterAutospacing="0" w:line="540" w:lineRule="atLeast"/>
        <w:rPr>
          <w:rFonts w:ascii="Microsoft Yahei" w:hAnsi="Microsoft Yahei"/>
          <w:color w:val="3D3D3D"/>
          <w:sz w:val="23"/>
          <w:szCs w:val="23"/>
        </w:rPr>
      </w:pPr>
      <w:r>
        <w:rPr>
          <w:rFonts w:ascii="仿宋_GB2312" w:eastAsia="仿宋_GB2312" w:hAnsi="Microsoft Yahei" w:hint="eastAsia"/>
          <w:color w:val="000000"/>
          <w:sz w:val="32"/>
          <w:szCs w:val="32"/>
        </w:rPr>
        <w:t>                               </w:t>
      </w:r>
      <w:r>
        <w:rPr>
          <w:rFonts w:ascii="仿宋_GB2312" w:eastAsia="仿宋_GB2312" w:hAnsi="Microsoft Yahei" w:hint="eastAsia"/>
          <w:color w:val="000000"/>
          <w:sz w:val="32"/>
          <w:szCs w:val="32"/>
        </w:rPr>
        <w:t>2016年11月15日</w:t>
      </w:r>
    </w:p>
    <w:p w14:paraId="459DA2C8" w14:textId="77777777" w:rsidR="001C2C73" w:rsidRDefault="001C2C73" w:rsidP="001C2C73">
      <w:pPr>
        <w:pStyle w:val="p0"/>
        <w:spacing w:before="0" w:beforeAutospacing="0" w:after="0" w:afterAutospacing="0"/>
        <w:jc w:val="both"/>
        <w:rPr>
          <w:rFonts w:ascii="Microsoft Yahei" w:hAnsi="Microsoft Yahei"/>
          <w:color w:val="3D3D3D"/>
          <w:sz w:val="23"/>
          <w:szCs w:val="23"/>
        </w:rPr>
      </w:pPr>
      <w:r>
        <w:rPr>
          <w:rFonts w:ascii="黑体" w:eastAsia="黑体" w:hAnsi="黑体" w:hint="eastAsia"/>
          <w:color w:val="3D3D3D"/>
          <w:sz w:val="32"/>
          <w:szCs w:val="32"/>
        </w:rPr>
        <w:t>附件</w:t>
      </w:r>
    </w:p>
    <w:p w14:paraId="4B7AB6C3"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淄博市企业技术中心认定管理办法</w:t>
      </w:r>
    </w:p>
    <w:p w14:paraId="3DC22417"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第一章</w:t>
      </w:r>
      <w:r>
        <w:rPr>
          <w:rFonts w:ascii="Calibri" w:eastAsia="黑体" w:hAnsi="Calibri" w:cs="Calibri"/>
          <w:color w:val="3D3D3D"/>
          <w:sz w:val="32"/>
          <w:szCs w:val="32"/>
        </w:rPr>
        <w:t> </w:t>
      </w:r>
      <w:r>
        <w:rPr>
          <w:rFonts w:ascii="黑体" w:eastAsia="黑体" w:hAnsi="黑体" w:hint="eastAsia"/>
          <w:color w:val="3D3D3D"/>
          <w:sz w:val="32"/>
          <w:szCs w:val="32"/>
        </w:rPr>
        <w:t>总</w:t>
      </w:r>
      <w:r>
        <w:rPr>
          <w:rFonts w:ascii="Calibri" w:eastAsia="黑体" w:hAnsi="Calibri" w:cs="Calibri"/>
          <w:color w:val="3D3D3D"/>
          <w:sz w:val="32"/>
          <w:szCs w:val="32"/>
        </w:rPr>
        <w:t> </w:t>
      </w:r>
      <w:r>
        <w:rPr>
          <w:rFonts w:ascii="黑体" w:eastAsia="黑体" w:hAnsi="黑体" w:hint="eastAsia"/>
          <w:color w:val="3D3D3D"/>
          <w:sz w:val="32"/>
          <w:szCs w:val="32"/>
        </w:rPr>
        <w:t>则</w:t>
      </w:r>
    </w:p>
    <w:p w14:paraId="5BEF6A9C"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第一条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为深入实施创新驱动发展战略，进一步强化企业技术创新主体地位，引导和支持企业增强技术创新能力，健全技术创新市场导向机制，规范市级企业技术中心管理，充分发挥技术中心在我市创新体系和企业创新能力</w:t>
      </w:r>
      <w:r>
        <w:rPr>
          <w:rFonts w:ascii="仿宋_GB2312" w:eastAsia="仿宋_GB2312" w:hAnsi="Microsoft Yahei" w:hint="eastAsia"/>
          <w:color w:val="3D3D3D"/>
          <w:sz w:val="32"/>
          <w:szCs w:val="32"/>
        </w:rPr>
        <w:lastRenderedPageBreak/>
        <w:t>建设中的引导与示范作用，根据《山东省企业技术中心认定管理办法》及我市实际情况，特制定本办法。</w:t>
      </w:r>
    </w:p>
    <w:p w14:paraId="0AD9BDDD"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14:paraId="5E557CEF"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第三条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鼓励和支持企业建立技术中心，发挥企业在技术创新中的主体作用，建立健全企业主导产业技术研发创新的体制机制。根据创新驱动发展要求和经济结构调整需要，对创新能力强、创新机制好、引领示范作用大、符合条件的企业技术中心予以认定，并给予政策支持，鼓励引导行业骨干企业带动产业技术进步和创新能力提高。</w:t>
      </w:r>
    </w:p>
    <w:p w14:paraId="10A6B8C4"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第四条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淄博市经济和信息化委负责淄博市企业技术中心（以下简称市级企业技术中心）的认定与运行评价。各区县经信部门（含高新区、文昌湖旅游度假区、淄博经济开发区，下同）负责市级企业技术中心的申报、管理等事项。</w:t>
      </w:r>
    </w:p>
    <w:p w14:paraId="670AE5CE"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第二章</w:t>
      </w:r>
      <w:r>
        <w:rPr>
          <w:rFonts w:ascii="Calibri" w:eastAsia="黑体" w:hAnsi="Calibri" w:cs="Calibri"/>
          <w:color w:val="3D3D3D"/>
          <w:sz w:val="32"/>
          <w:szCs w:val="32"/>
        </w:rPr>
        <w:t> </w:t>
      </w:r>
      <w:r>
        <w:rPr>
          <w:rFonts w:ascii="黑体" w:eastAsia="黑体" w:hAnsi="黑体" w:hint="eastAsia"/>
          <w:color w:val="3D3D3D"/>
          <w:sz w:val="32"/>
          <w:szCs w:val="32"/>
        </w:rPr>
        <w:t>市级企业技术中心认定</w:t>
      </w:r>
    </w:p>
    <w:p w14:paraId="281F0F4A"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第五条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市级企业技术中心的认定，原则上每年进行一次。各区县经信部门按照市经济和信息化委通知要求报送申请材料。</w:t>
      </w:r>
    </w:p>
    <w:p w14:paraId="4A9A6299"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lastRenderedPageBreak/>
        <w:t>第六条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市级企业技术中心应当具备以下基本条件：</w:t>
      </w:r>
    </w:p>
    <w:p w14:paraId="1FC563D2"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（一）企业在行业中具有显著的发展优势和竞争优势，具有较强创新能力和较高创新水平；</w:t>
      </w:r>
    </w:p>
    <w:p w14:paraId="729339C4"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（二）企业具有较好的技术创新机制，企业技术中心组织体系健全，创新效率和效益显著；</w:t>
      </w:r>
    </w:p>
    <w:p w14:paraId="151C032D"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（三）有较高的研究开发投入，年度研究与试验发展经费支出额不低于300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万元；拥有技术水平高、实践经验丰富的技术带头人，专职研究与试验发展人员数不少于30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人；</w:t>
      </w:r>
    </w:p>
    <w:p w14:paraId="6EB28945"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（四）具有比较完善的研究、开发、试验条件，技术开发仪器设备原值不低于300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万元；有较好的技术积累，重视前沿技术开发，具有开展高水平技术创新活动的能力；</w:t>
      </w:r>
    </w:p>
    <w:p w14:paraId="5249178C"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（五）企业在我市行政辖区内登记注册2年以上，具备独立法人资格，技术中心已建立1年以上。</w:t>
      </w:r>
    </w:p>
    <w:p w14:paraId="59193CE2"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企业在申请受理截止日期前三年内，不得存在下列情况：</w:t>
      </w:r>
    </w:p>
    <w:p w14:paraId="3841A0F0"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（一）因违反海关法及有关法律、行政法规，构成走私行为，受到刑事、行政处罚，或因严重违反海关监管规定受到行政处罚；</w:t>
      </w:r>
    </w:p>
    <w:p w14:paraId="48C7F42C"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（二）因违反税收征管法及有关法律、行政法规，构成偷税、骗取出口退税等严重税收违法行为；</w:t>
      </w:r>
    </w:p>
    <w:p w14:paraId="39EF25C9"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lastRenderedPageBreak/>
        <w:t>（三）司法、行政机关认定的其他严重违法失信行为。</w:t>
      </w:r>
    </w:p>
    <w:p w14:paraId="268955C8"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第七条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各区县经信部门根据本办法及当年市经济和信息化委通知推荐符合条件的企业技术中心，并将推荐企业技术中心名单及其申请材料（一式二份）报送市经济和信息化委。申请材料主要包括企业技术中心申请报告、评价表及必要的证明材料。</w:t>
      </w:r>
    </w:p>
    <w:p w14:paraId="7DAC9140"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第八条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市经济和信息化委委托专家依据评价指标体系进行评审。市经济和信息化委根据国家产业政策、专家评审结果</w:t>
      </w:r>
      <w:r>
        <w:rPr>
          <w:rFonts w:ascii="仿宋_GB2312" w:eastAsia="仿宋_GB2312" w:hAnsi="Microsoft Yahei" w:hint="eastAsia"/>
          <w:color w:val="000000"/>
          <w:sz w:val="32"/>
          <w:szCs w:val="32"/>
        </w:rPr>
        <w:t>等进行综合评价，择优确认</w:t>
      </w:r>
      <w:r>
        <w:rPr>
          <w:rFonts w:ascii="仿宋_GB2312" w:eastAsia="仿宋_GB2312" w:hAnsi="Microsoft Yahei" w:hint="eastAsia"/>
          <w:color w:val="3D3D3D"/>
          <w:sz w:val="32"/>
          <w:szCs w:val="32"/>
        </w:rPr>
        <w:t>技术中心名单，并向各区县经信部门通报认定结果。</w:t>
      </w:r>
      <w:r>
        <w:rPr>
          <w:rFonts w:ascii="Calibri" w:eastAsia="黑体" w:hAnsi="Calibri" w:cs="Calibri"/>
          <w:color w:val="3D3D3D"/>
          <w:sz w:val="32"/>
          <w:szCs w:val="32"/>
        </w:rPr>
        <w:t> </w:t>
      </w:r>
    </w:p>
    <w:p w14:paraId="604D3BE9"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第三章</w:t>
      </w:r>
      <w:r>
        <w:rPr>
          <w:rFonts w:ascii="Calibri" w:eastAsia="黑体" w:hAnsi="Calibri" w:cs="Calibri"/>
          <w:color w:val="3D3D3D"/>
          <w:sz w:val="32"/>
          <w:szCs w:val="32"/>
        </w:rPr>
        <w:t> </w:t>
      </w:r>
      <w:r>
        <w:rPr>
          <w:rFonts w:ascii="黑体" w:eastAsia="黑体" w:hAnsi="黑体" w:hint="eastAsia"/>
          <w:color w:val="3D3D3D"/>
          <w:sz w:val="32"/>
          <w:szCs w:val="32"/>
        </w:rPr>
        <w:t>运行评价</w:t>
      </w:r>
    </w:p>
    <w:p w14:paraId="0E0036A2"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第九条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市经济和信息化委原则上每两年组织一次市级企业技术中心运行评价，并于评价年度下发评价通知。</w:t>
      </w:r>
    </w:p>
    <w:p w14:paraId="393CA84A"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各有关企业按照通知要求，编写评价材料，评价材料主要包括市级企业技术中心工作总结、评价表及必要的证明材料。</w:t>
      </w:r>
    </w:p>
    <w:p w14:paraId="6710E4A4"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各区县经信部门对市级企业技术中心评价材料真实性进行把</w:t>
      </w:r>
      <w:r>
        <w:rPr>
          <w:rFonts w:ascii="仿宋_GB2312" w:eastAsia="仿宋_GB2312" w:hAnsi="Microsoft Yahei" w:hint="eastAsia"/>
          <w:color w:val="000000"/>
          <w:sz w:val="32"/>
          <w:szCs w:val="32"/>
        </w:rPr>
        <w:t>关、出具意见，</w:t>
      </w:r>
      <w:r>
        <w:rPr>
          <w:rFonts w:ascii="仿宋_GB2312" w:eastAsia="仿宋_GB2312" w:hAnsi="Microsoft Yahei" w:hint="eastAsia"/>
          <w:color w:val="3D3D3D"/>
          <w:sz w:val="32"/>
          <w:szCs w:val="32"/>
        </w:rPr>
        <w:t>并按通知要求将评价材料报送市经济和信息化委。</w:t>
      </w:r>
    </w:p>
    <w:p w14:paraId="0E20458B"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lastRenderedPageBreak/>
        <w:t>第十条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市经济和信息化委组织专家，依据评价指标体系，对各区县经信部门报送的评价材料进行评审，结合技术中心的日常工作情况，形成评价结果和评价报告。</w:t>
      </w:r>
    </w:p>
    <w:p w14:paraId="0718906F"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第十一条</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评价结果分为优秀、良好、基本合格和不合格：</w:t>
      </w:r>
    </w:p>
    <w:p w14:paraId="5469A8DF"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（一）评价得分</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90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分及以上为优秀；</w:t>
      </w:r>
    </w:p>
    <w:p w14:paraId="748055D7"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（二）评价得分</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65</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分至</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90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分（不含</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90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分）为良好；</w:t>
      </w:r>
    </w:p>
    <w:p w14:paraId="7A6A0958"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（三）评价得分</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60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分至</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65</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分（不含</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65</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分）为基本合格；</w:t>
      </w:r>
    </w:p>
    <w:p w14:paraId="50F57911"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（四）评价得分低于</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60</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分为不合格。</w:t>
      </w:r>
    </w:p>
    <w:p w14:paraId="74326401"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第十二条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市经济和信息化委对评价结果进行审核认定后，向各区县经信部门通报。</w:t>
      </w:r>
    </w:p>
    <w:p w14:paraId="4C336A9B"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第四章</w:t>
      </w:r>
      <w:r>
        <w:rPr>
          <w:rFonts w:ascii="Calibri" w:eastAsia="黑体" w:hAnsi="Calibri" w:cs="Calibri"/>
          <w:color w:val="3D3D3D"/>
          <w:sz w:val="32"/>
          <w:szCs w:val="32"/>
        </w:rPr>
        <w:t> </w:t>
      </w:r>
      <w:r>
        <w:rPr>
          <w:rFonts w:ascii="黑体" w:eastAsia="黑体" w:hAnsi="黑体" w:hint="eastAsia"/>
          <w:color w:val="3D3D3D"/>
          <w:sz w:val="32"/>
          <w:szCs w:val="32"/>
        </w:rPr>
        <w:t>鼓励政策</w:t>
      </w:r>
    </w:p>
    <w:p w14:paraId="6B8D9A0B"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第十三条</w:t>
      </w:r>
      <w:r>
        <w:rPr>
          <w:rFonts w:ascii="Calibri" w:eastAsia="黑体" w:hAnsi="Calibri" w:cs="Calibri"/>
          <w:color w:val="3D3D3D"/>
          <w:sz w:val="32"/>
          <w:szCs w:val="32"/>
        </w:rPr>
        <w:t> </w:t>
      </w:r>
      <w:r>
        <w:rPr>
          <w:rFonts w:ascii="仿宋_GB2312" w:eastAsia="仿宋_GB2312" w:hAnsi="Microsoft Yahei" w:hint="eastAsia"/>
          <w:color w:val="000000"/>
          <w:sz w:val="32"/>
          <w:szCs w:val="32"/>
        </w:rPr>
        <w:t>市及区县经</w:t>
      </w:r>
      <w:r>
        <w:rPr>
          <w:rFonts w:ascii="仿宋_GB2312" w:eastAsia="仿宋_GB2312" w:hAnsi="Microsoft Yahei" w:hint="eastAsia"/>
          <w:color w:val="3D3D3D"/>
          <w:sz w:val="32"/>
          <w:szCs w:val="32"/>
        </w:rPr>
        <w:t>信部门按照职能，对市级企业技术中心予以支持。</w:t>
      </w:r>
    </w:p>
    <w:p w14:paraId="325B7AC1"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第十四条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支持市级企业技术中心承担国家、省级、市级相关研发任务，享受国家优惠政策。</w:t>
      </w:r>
    </w:p>
    <w:p w14:paraId="7A81012C"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第五章</w:t>
      </w:r>
      <w:r>
        <w:rPr>
          <w:rFonts w:ascii="Calibri" w:eastAsia="黑体" w:hAnsi="Calibri" w:cs="Calibri"/>
          <w:color w:val="3D3D3D"/>
          <w:sz w:val="32"/>
          <w:szCs w:val="32"/>
        </w:rPr>
        <w:t> </w:t>
      </w:r>
      <w:r>
        <w:rPr>
          <w:rFonts w:ascii="黑体" w:eastAsia="黑体" w:hAnsi="黑体" w:hint="eastAsia"/>
          <w:color w:val="3D3D3D"/>
          <w:sz w:val="32"/>
          <w:szCs w:val="32"/>
        </w:rPr>
        <w:t>监督管理</w:t>
      </w:r>
    </w:p>
    <w:p w14:paraId="4216E4A1"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第十五条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技术中心的所在企业发生改制、合并、重组、分立、股权转让等重大事项时需变更名称的，应由企业提出变更申请，经企业所在区县经信部门确认后，在每年申报市级企业技术中心时将变更情况及相关证明材料报</w:t>
      </w:r>
      <w:r>
        <w:rPr>
          <w:rFonts w:ascii="仿宋_GB2312" w:eastAsia="仿宋_GB2312" w:hAnsi="Microsoft Yahei" w:hint="eastAsia"/>
          <w:color w:val="3D3D3D"/>
          <w:sz w:val="32"/>
          <w:szCs w:val="32"/>
        </w:rPr>
        <w:lastRenderedPageBreak/>
        <w:t>送市经济和信息化委。市经济和信息化委对相关情况进行确认并发文公布。</w:t>
      </w:r>
    </w:p>
    <w:p w14:paraId="034DC0D8"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第十六条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企业对其报送材料和数据真实性负责，各区县经信部门负责所属企业数据及信息的核实把关工作。</w:t>
      </w:r>
    </w:p>
    <w:p w14:paraId="58EBD577"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第十七条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有下列情况之一的，撤销市级企业技术中心资格：</w:t>
      </w:r>
    </w:p>
    <w:p w14:paraId="6A691C82"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（一）运行评价不合格；</w:t>
      </w:r>
    </w:p>
    <w:p w14:paraId="5D7795BF"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（二）逾期未报送评价材料；</w:t>
      </w:r>
    </w:p>
    <w:p w14:paraId="4FB89727"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（三）提供虚假材料和数据；</w:t>
      </w:r>
    </w:p>
    <w:p w14:paraId="778B9A0B"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（四）主要由于技术原因发生重大质量、安全事故；</w:t>
      </w:r>
    </w:p>
    <w:p w14:paraId="41A180E5"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（五）因违反国家有关法律法规受到刑事或行政处罚；</w:t>
      </w:r>
    </w:p>
    <w:p w14:paraId="6BDAB66B"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（六）司法、行政机关认定的其他严重违法失信行为；</w:t>
      </w:r>
    </w:p>
    <w:p w14:paraId="40950FEC"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（七）企业停产、停业或被依法终止。</w:t>
      </w:r>
    </w:p>
    <w:p w14:paraId="31909DB0"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仿宋_GB2312" w:eastAsia="仿宋_GB2312" w:hAnsi="Microsoft Yahei" w:hint="eastAsia"/>
          <w:color w:val="3D3D3D"/>
          <w:sz w:val="32"/>
          <w:szCs w:val="32"/>
        </w:rPr>
        <w:t>（八）</w:t>
      </w:r>
      <w:r>
        <w:rPr>
          <w:rStyle w:val="15"/>
          <w:rFonts w:ascii="仿宋_GB2312" w:eastAsia="仿宋_GB2312" w:hAnsi="Microsoft Yahei" w:hint="eastAsia"/>
          <w:color w:val="3D3D3D"/>
          <w:sz w:val="32"/>
          <w:szCs w:val="32"/>
        </w:rPr>
        <w:t>其他应被撤销的情况。</w:t>
      </w:r>
    </w:p>
    <w:p w14:paraId="13FE3152"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第十八条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各类因本办法第十七条第（一）、（二）项所列原因被撤销市级企业技术中心资格的，自撤销之日起，各区县经信部门两年内不得再次推荐该企业。因本办法第十七条第（三）～（六）项所列原因被撤销市级企业技术中心资格的，自撤销之日起，各区县经信部门三年内不得再次推荐该企业。各区县经信部门负责指导和督促评</w:t>
      </w:r>
      <w:r>
        <w:rPr>
          <w:rFonts w:ascii="仿宋_GB2312" w:eastAsia="仿宋_GB2312" w:hAnsi="Microsoft Yahei" w:hint="eastAsia"/>
          <w:color w:val="3D3D3D"/>
          <w:sz w:val="32"/>
          <w:szCs w:val="32"/>
        </w:rPr>
        <w:lastRenderedPageBreak/>
        <w:t>价基本合格的市级企业技术中心改进工作。各区县经信部门要及时对技术中心出现的问题向市经济和信息化委进行报告。</w:t>
      </w:r>
    </w:p>
    <w:p w14:paraId="19B6DC1A" w14:textId="77777777" w:rsidR="001C2C73" w:rsidRDefault="001C2C73" w:rsidP="001C2C73">
      <w:pPr>
        <w:pStyle w:val="p0"/>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第六章</w:t>
      </w:r>
      <w:r>
        <w:rPr>
          <w:rFonts w:ascii="Calibri" w:eastAsia="黑体" w:hAnsi="Calibri" w:cs="Calibri"/>
          <w:color w:val="3D3D3D"/>
          <w:sz w:val="32"/>
          <w:szCs w:val="32"/>
        </w:rPr>
        <w:t> </w:t>
      </w:r>
      <w:r>
        <w:rPr>
          <w:rFonts w:ascii="黑体" w:eastAsia="黑体" w:hAnsi="黑体" w:hint="eastAsia"/>
          <w:color w:val="3D3D3D"/>
          <w:sz w:val="32"/>
          <w:szCs w:val="32"/>
        </w:rPr>
        <w:t>附</w:t>
      </w:r>
      <w:r>
        <w:rPr>
          <w:rFonts w:ascii="Calibri" w:eastAsia="黑体" w:hAnsi="Calibri" w:cs="Calibri"/>
          <w:color w:val="3D3D3D"/>
          <w:sz w:val="32"/>
          <w:szCs w:val="32"/>
        </w:rPr>
        <w:t> </w:t>
      </w:r>
      <w:r>
        <w:rPr>
          <w:rFonts w:ascii="黑体" w:eastAsia="黑体" w:hAnsi="黑体" w:hint="eastAsia"/>
          <w:color w:val="3D3D3D"/>
          <w:sz w:val="32"/>
          <w:szCs w:val="32"/>
        </w:rPr>
        <w:t>则</w:t>
      </w:r>
    </w:p>
    <w:p w14:paraId="17268599"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第十九条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各区县经信部门可参考本办法，结合本地实际，在职责范围内依法制定相应政策，支持企业技术中心建设。</w:t>
      </w:r>
    </w:p>
    <w:p w14:paraId="3BE0023E"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本办法涉及的申请材料、评价材料和评价指标体系的内容和要求，由市经济和信息化委另行发布并适时调整。</w:t>
      </w:r>
    </w:p>
    <w:p w14:paraId="1BC2DF30"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第二十一条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依据《中华人民共和国政府信息公开条例》，市级企业技术中心认定的相关信息向社会公开。</w:t>
      </w:r>
    </w:p>
    <w:p w14:paraId="1DF90609"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第二十二条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本办法自2016年12月14日起施行，有效期至2021年12月13日。</w:t>
      </w:r>
    </w:p>
    <w:p w14:paraId="756959B0" w14:textId="77777777" w:rsidR="001C2C73" w:rsidRDefault="001C2C73" w:rsidP="001C2C73">
      <w:pPr>
        <w:pStyle w:val="p0"/>
        <w:spacing w:before="0" w:beforeAutospacing="0" w:after="0" w:afterAutospacing="0"/>
        <w:ind w:firstLine="640"/>
        <w:rPr>
          <w:rFonts w:ascii="Microsoft Yahei" w:hAnsi="Microsoft Yahei"/>
          <w:color w:val="3D3D3D"/>
          <w:sz w:val="23"/>
          <w:szCs w:val="23"/>
        </w:rPr>
      </w:pPr>
      <w:r>
        <w:rPr>
          <w:rFonts w:ascii="黑体" w:eastAsia="黑体" w:hAnsi="黑体" w:hint="eastAsia"/>
          <w:color w:val="3D3D3D"/>
          <w:sz w:val="32"/>
          <w:szCs w:val="32"/>
        </w:rPr>
        <w:t>第二十三条</w:t>
      </w:r>
      <w:r>
        <w:rPr>
          <w:rFonts w:ascii="Calibri" w:eastAsia="黑体" w:hAnsi="Calibri" w:cs="Calibri"/>
          <w:color w:val="3D3D3D"/>
          <w:sz w:val="32"/>
          <w:szCs w:val="32"/>
        </w:rPr>
        <w:t> </w:t>
      </w:r>
      <w:r>
        <w:rPr>
          <w:rFonts w:ascii="仿宋_GB2312" w:eastAsia="仿宋_GB2312" w:hAnsi="Microsoft Yahei" w:hint="eastAsia"/>
          <w:color w:val="3D3D3D"/>
          <w:sz w:val="32"/>
          <w:szCs w:val="32"/>
        </w:rPr>
        <w:t>本办法由市经济和信息化委负责解释。</w:t>
      </w:r>
    </w:p>
    <w:p w14:paraId="5B81F6DB" w14:textId="77777777" w:rsidR="00A6294D" w:rsidRPr="001C2C73" w:rsidRDefault="00A6294D">
      <w:bookmarkStart w:id="0" w:name="_GoBack"/>
      <w:bookmarkEnd w:id="0"/>
    </w:p>
    <w:sectPr w:rsidR="00A6294D" w:rsidRPr="001C2C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66ADF" w14:textId="77777777" w:rsidR="00037329" w:rsidRDefault="00037329" w:rsidP="001C2C73">
      <w:r>
        <w:separator/>
      </w:r>
    </w:p>
  </w:endnote>
  <w:endnote w:type="continuationSeparator" w:id="0">
    <w:p w14:paraId="3BBF0F99" w14:textId="77777777" w:rsidR="00037329" w:rsidRDefault="00037329" w:rsidP="001C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2C39" w14:textId="77777777" w:rsidR="00037329" w:rsidRDefault="00037329" w:rsidP="001C2C73">
      <w:r>
        <w:separator/>
      </w:r>
    </w:p>
  </w:footnote>
  <w:footnote w:type="continuationSeparator" w:id="0">
    <w:p w14:paraId="3E84B8F2" w14:textId="77777777" w:rsidR="00037329" w:rsidRDefault="00037329" w:rsidP="001C2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55"/>
    <w:rsid w:val="00037329"/>
    <w:rsid w:val="001C2C73"/>
    <w:rsid w:val="00A6294D"/>
    <w:rsid w:val="00E7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FB61B5-9B47-4616-941F-1B1EF5E2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C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2C73"/>
    <w:rPr>
      <w:sz w:val="18"/>
      <w:szCs w:val="18"/>
    </w:rPr>
  </w:style>
  <w:style w:type="paragraph" w:styleId="a5">
    <w:name w:val="footer"/>
    <w:basedOn w:val="a"/>
    <w:link w:val="a6"/>
    <w:uiPriority w:val="99"/>
    <w:unhideWhenUsed/>
    <w:rsid w:val="001C2C73"/>
    <w:pPr>
      <w:tabs>
        <w:tab w:val="center" w:pos="4153"/>
        <w:tab w:val="right" w:pos="8306"/>
      </w:tabs>
      <w:snapToGrid w:val="0"/>
      <w:jc w:val="left"/>
    </w:pPr>
    <w:rPr>
      <w:sz w:val="18"/>
      <w:szCs w:val="18"/>
    </w:rPr>
  </w:style>
  <w:style w:type="character" w:customStyle="1" w:styleId="a6">
    <w:name w:val="页脚 字符"/>
    <w:basedOn w:val="a0"/>
    <w:link w:val="a5"/>
    <w:uiPriority w:val="99"/>
    <w:rsid w:val="001C2C73"/>
    <w:rPr>
      <w:sz w:val="18"/>
      <w:szCs w:val="18"/>
    </w:rPr>
  </w:style>
  <w:style w:type="paragraph" w:customStyle="1" w:styleId="p0">
    <w:name w:val="p0"/>
    <w:basedOn w:val="a"/>
    <w:rsid w:val="001C2C73"/>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1C2C73"/>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1C2C73"/>
  </w:style>
  <w:style w:type="character" w:customStyle="1" w:styleId="15">
    <w:name w:val="15"/>
    <w:basedOn w:val="a0"/>
    <w:rsid w:val="001C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239455">
      <w:bodyDiv w:val="1"/>
      <w:marLeft w:val="0"/>
      <w:marRight w:val="0"/>
      <w:marTop w:val="0"/>
      <w:marBottom w:val="0"/>
      <w:divBdr>
        <w:top w:val="none" w:sz="0" w:space="0" w:color="auto"/>
        <w:left w:val="none" w:sz="0" w:space="0" w:color="auto"/>
        <w:bottom w:val="none" w:sz="0" w:space="0" w:color="auto"/>
        <w:right w:val="none" w:sz="0" w:space="0" w:color="auto"/>
      </w:divBdr>
    </w:div>
    <w:div w:id="2114669375">
      <w:bodyDiv w:val="1"/>
      <w:marLeft w:val="0"/>
      <w:marRight w:val="0"/>
      <w:marTop w:val="0"/>
      <w:marBottom w:val="0"/>
      <w:divBdr>
        <w:top w:val="none" w:sz="0" w:space="0" w:color="auto"/>
        <w:left w:val="none" w:sz="0" w:space="0" w:color="auto"/>
        <w:bottom w:val="none" w:sz="0" w:space="0" w:color="auto"/>
        <w:right w:val="none" w:sz="0" w:space="0" w:color="auto"/>
      </w:divBdr>
      <w:divsChild>
        <w:div w:id="1374230081">
          <w:marLeft w:val="0"/>
          <w:marRight w:val="0"/>
          <w:marTop w:val="300"/>
          <w:marBottom w:val="0"/>
          <w:divBdr>
            <w:top w:val="none" w:sz="0" w:space="0" w:color="auto"/>
            <w:left w:val="none" w:sz="0" w:space="0" w:color="auto"/>
            <w:bottom w:val="none" w:sz="0" w:space="0" w:color="auto"/>
            <w:right w:val="none" w:sz="0" w:space="0" w:color="auto"/>
          </w:divBdr>
          <w:divsChild>
            <w:div w:id="14725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2019-01-25T07:34:00Z</dcterms:created>
  <dcterms:modified xsi:type="dcterms:W3CDTF">2019-01-25T07:34:00Z</dcterms:modified>
</cp:coreProperties>
</file>