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970" w:type="dxa"/>
        <w:shd w:val="clear" w:color="auto" w:fill="FFFFFF"/>
        <w:tblCellMar>
          <w:top w:w="15" w:type="dxa"/>
          <w:left w:w="15" w:type="dxa"/>
          <w:bottom w:w="15" w:type="dxa"/>
          <w:right w:w="15" w:type="dxa"/>
        </w:tblCellMar>
        <w:tblLook w:val="04A0"/>
      </w:tblPr>
      <w:tblGrid>
        <w:gridCol w:w="14970"/>
      </w:tblGrid>
      <w:tr w:rsidR="00EC39A1" w:rsidRPr="00EC39A1" w:rsidTr="00EC39A1">
        <w:tc>
          <w:tcPr>
            <w:tcW w:w="0" w:type="auto"/>
            <w:shd w:val="clear" w:color="auto" w:fill="FFFFFF"/>
            <w:tcMar>
              <w:top w:w="30" w:type="dxa"/>
              <w:left w:w="15" w:type="dxa"/>
              <w:bottom w:w="30" w:type="dxa"/>
              <w:right w:w="15" w:type="dxa"/>
            </w:tcMar>
            <w:vAlign w:val="center"/>
            <w:hideMark/>
          </w:tcPr>
          <w:p w:rsidR="00EC39A1" w:rsidRPr="00EC39A1" w:rsidRDefault="00EC39A1" w:rsidP="00EC39A1">
            <w:pPr>
              <w:adjustRightInd/>
              <w:snapToGrid/>
              <w:spacing w:after="0" w:line="540" w:lineRule="atLeast"/>
              <w:jc w:val="center"/>
              <w:rPr>
                <w:rFonts w:ascii="Helvetica" w:eastAsia="宋体" w:hAnsi="Helvetica" w:cs="Helvetica"/>
                <w:color w:val="CC0000"/>
                <w:sz w:val="39"/>
                <w:szCs w:val="39"/>
              </w:rPr>
            </w:pPr>
            <w:r w:rsidRPr="00EC39A1">
              <w:rPr>
                <w:rFonts w:ascii="Helvetica" w:eastAsia="宋体" w:hAnsi="Helvetica" w:cs="Helvetica"/>
                <w:b/>
                <w:bCs/>
                <w:color w:val="CC0000"/>
                <w:sz w:val="39"/>
                <w:szCs w:val="39"/>
              </w:rPr>
              <w:t>富顺县人民政府关于印发《富顺县重大招商引资引智项目</w:t>
            </w:r>
            <w:r w:rsidRPr="00EC39A1">
              <w:rPr>
                <w:rFonts w:ascii="Helvetica" w:eastAsia="宋体" w:hAnsi="Helvetica" w:cs="Helvetica"/>
                <w:b/>
                <w:bCs/>
                <w:color w:val="CC0000"/>
                <w:sz w:val="39"/>
                <w:szCs w:val="39"/>
              </w:rPr>
              <w:t>26</w:t>
            </w:r>
            <w:r w:rsidRPr="00EC39A1">
              <w:rPr>
                <w:rFonts w:ascii="Helvetica" w:eastAsia="宋体" w:hAnsi="Helvetica" w:cs="Helvetica"/>
                <w:b/>
                <w:bCs/>
                <w:color w:val="CC0000"/>
                <w:sz w:val="39"/>
                <w:szCs w:val="39"/>
              </w:rPr>
              <w:t>条扶持政策》的通知</w:t>
            </w:r>
            <w:r w:rsidRPr="00EC39A1">
              <w:rPr>
                <w:rFonts w:ascii="Helvetica" w:eastAsia="宋体" w:hAnsi="Helvetica" w:cs="Helvetica"/>
                <w:b/>
                <w:bCs/>
                <w:color w:val="CC0000"/>
                <w:sz w:val="39"/>
                <w:szCs w:val="39"/>
              </w:rPr>
              <w:t xml:space="preserve">  </w:t>
            </w:r>
          </w:p>
        </w:tc>
      </w:tr>
      <w:tr w:rsidR="00EC39A1" w:rsidRPr="00EC39A1" w:rsidTr="00EC39A1">
        <w:tc>
          <w:tcPr>
            <w:tcW w:w="0" w:type="auto"/>
            <w:shd w:val="clear" w:color="auto" w:fill="FFFFFF"/>
            <w:vAlign w:val="center"/>
            <w:hideMark/>
          </w:tcPr>
          <w:tbl>
            <w:tblPr>
              <w:tblW w:w="14940" w:type="dxa"/>
              <w:jc w:val="center"/>
              <w:tblCellMar>
                <w:top w:w="15" w:type="dxa"/>
                <w:left w:w="15" w:type="dxa"/>
                <w:bottom w:w="15" w:type="dxa"/>
                <w:right w:w="15" w:type="dxa"/>
              </w:tblCellMar>
              <w:tblLook w:val="04A0"/>
            </w:tblPr>
            <w:tblGrid>
              <w:gridCol w:w="14940"/>
            </w:tblGrid>
            <w:tr w:rsidR="00EC39A1" w:rsidRPr="00EC39A1">
              <w:trPr>
                <w:jc w:val="center"/>
              </w:trPr>
              <w:tc>
                <w:tcPr>
                  <w:tcW w:w="0" w:type="auto"/>
                  <w:shd w:val="clear" w:color="auto" w:fill="auto"/>
                  <w:vAlign w:val="center"/>
                  <w:hideMark/>
                </w:tcPr>
                <w:p w:rsidR="00EC39A1" w:rsidRPr="00EC39A1" w:rsidRDefault="00EC39A1" w:rsidP="00EC39A1">
                  <w:pPr>
                    <w:adjustRightInd/>
                    <w:snapToGrid/>
                    <w:spacing w:after="0"/>
                    <w:jc w:val="center"/>
                    <w:rPr>
                      <w:rFonts w:ascii="宋体" w:eastAsia="宋体" w:hAnsi="宋体" w:cs="宋体"/>
                      <w:color w:val="666666"/>
                      <w:sz w:val="21"/>
                      <w:szCs w:val="21"/>
                    </w:rPr>
                  </w:pPr>
                  <w:r w:rsidRPr="00EC39A1">
                    <w:rPr>
                      <w:rFonts w:ascii="宋体" w:eastAsia="宋体" w:hAnsi="宋体" w:cs="宋体"/>
                      <w:b/>
                      <w:bCs/>
                      <w:color w:val="666666"/>
                      <w:sz w:val="21"/>
                    </w:rPr>
                    <w:t>来源：</w:t>
                  </w:r>
                  <w:r w:rsidRPr="00EC39A1">
                    <w:rPr>
                      <w:rFonts w:ascii="宋体" w:eastAsia="宋体" w:hAnsi="宋体" w:cs="宋体"/>
                      <w:color w:val="666666"/>
                      <w:sz w:val="21"/>
                      <w:szCs w:val="21"/>
                    </w:rPr>
                    <w:t>富顺县政府办</w:t>
                  </w:r>
                  <w:r w:rsidRPr="00EC39A1">
                    <w:rPr>
                      <w:rFonts w:ascii="宋体" w:eastAsia="宋体" w:hAnsi="宋体" w:cs="宋体"/>
                      <w:b/>
                      <w:bCs/>
                      <w:color w:val="666666"/>
                      <w:sz w:val="21"/>
                    </w:rPr>
                    <w:t>类别：</w:t>
                  </w:r>
                  <w:r w:rsidRPr="00EC39A1">
                    <w:rPr>
                      <w:rFonts w:ascii="宋体" w:eastAsia="宋体" w:hAnsi="宋体" w:cs="宋体"/>
                      <w:color w:val="666666"/>
                      <w:sz w:val="21"/>
                      <w:szCs w:val="21"/>
                    </w:rPr>
                    <w:t>政策文件</w:t>
                  </w:r>
                  <w:r w:rsidRPr="00EC39A1">
                    <w:rPr>
                      <w:rFonts w:ascii="宋体" w:eastAsia="宋体" w:hAnsi="宋体" w:cs="宋体"/>
                      <w:b/>
                      <w:bCs/>
                      <w:color w:val="666666"/>
                      <w:sz w:val="21"/>
                    </w:rPr>
                    <w:t>发布时间：</w:t>
                  </w:r>
                  <w:r w:rsidRPr="00EC39A1">
                    <w:rPr>
                      <w:rFonts w:ascii="宋体" w:eastAsia="宋体" w:hAnsi="宋体" w:cs="宋体"/>
                      <w:color w:val="666666"/>
                      <w:sz w:val="21"/>
                      <w:szCs w:val="21"/>
                    </w:rPr>
                    <w:t>2017-05-31</w:t>
                  </w:r>
                  <w:r w:rsidRPr="00EC39A1">
                    <w:rPr>
                      <w:rFonts w:ascii="宋体" w:eastAsia="宋体" w:hAnsi="宋体" w:cs="宋体"/>
                      <w:b/>
                      <w:bCs/>
                      <w:color w:val="666666"/>
                      <w:sz w:val="21"/>
                    </w:rPr>
                    <w:t>阅读：</w:t>
                  </w:r>
                  <w:r w:rsidRPr="00EC39A1">
                    <w:rPr>
                      <w:rFonts w:ascii="宋体" w:eastAsia="宋体" w:hAnsi="宋体" w:cs="宋体"/>
                      <w:color w:val="666666"/>
                      <w:sz w:val="21"/>
                      <w:szCs w:val="21"/>
                    </w:rPr>
                    <w:t>323</w:t>
                  </w:r>
                  <w:r w:rsidRPr="00EC39A1">
                    <w:rPr>
                      <w:rFonts w:ascii="宋体" w:eastAsia="宋体" w:hAnsi="宋体" w:cs="宋体"/>
                      <w:b/>
                      <w:bCs/>
                      <w:color w:val="666666"/>
                      <w:sz w:val="21"/>
                    </w:rPr>
                    <w:t>次</w:t>
                  </w:r>
                </w:p>
              </w:tc>
            </w:tr>
          </w:tbl>
          <w:p w:rsidR="00EC39A1" w:rsidRPr="00EC39A1" w:rsidRDefault="00EC39A1" w:rsidP="00EC39A1">
            <w:pPr>
              <w:adjustRightInd/>
              <w:snapToGrid/>
              <w:spacing w:after="0"/>
              <w:jc w:val="center"/>
              <w:rPr>
                <w:rFonts w:ascii="Helvetica" w:eastAsia="宋体" w:hAnsi="Helvetica" w:cs="Helvetica"/>
                <w:color w:val="555555"/>
                <w:sz w:val="21"/>
                <w:szCs w:val="21"/>
              </w:rPr>
            </w:pPr>
          </w:p>
        </w:tc>
      </w:tr>
      <w:tr w:rsidR="00EC39A1" w:rsidRPr="00EC39A1" w:rsidTr="00EC39A1">
        <w:tc>
          <w:tcPr>
            <w:tcW w:w="14670" w:type="dxa"/>
            <w:shd w:val="clear" w:color="auto" w:fill="FFFFFF"/>
            <w:tcMar>
              <w:top w:w="0" w:type="dxa"/>
              <w:left w:w="150" w:type="dxa"/>
              <w:bottom w:w="0" w:type="dxa"/>
              <w:right w:w="150" w:type="dxa"/>
            </w:tcMar>
            <w:vAlign w:val="center"/>
            <w:hideMark/>
          </w:tcPr>
          <w:p w:rsidR="00EC39A1" w:rsidRPr="00EC39A1" w:rsidRDefault="00EC39A1" w:rsidP="00EC39A1">
            <w:pPr>
              <w:adjustRightInd/>
              <w:snapToGrid/>
              <w:spacing w:after="150" w:line="560" w:lineRule="atLeast"/>
              <w:jc w:val="center"/>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富府发〔2017〕7号</w:t>
            </w:r>
            <w:r w:rsidRPr="00EC39A1">
              <w:rPr>
                <w:rFonts w:ascii="方正小标宋简体" w:eastAsia="方正小标宋简体" w:hAnsi="宋体" w:cs="宋体" w:hint="eastAsia"/>
                <w:color w:val="555555"/>
                <w:sz w:val="44"/>
                <w:szCs w:val="44"/>
              </w:rPr>
              <w:t> </w:t>
            </w:r>
          </w:p>
          <w:p w:rsidR="00EC39A1" w:rsidRPr="00EC39A1" w:rsidRDefault="00EC39A1" w:rsidP="00EC39A1">
            <w:pPr>
              <w:adjustRightInd/>
              <w:snapToGrid/>
              <w:spacing w:after="150" w:line="592" w:lineRule="atLeast"/>
              <w:jc w:val="center"/>
              <w:rPr>
                <w:rFonts w:ascii="宋体" w:eastAsia="宋体" w:hAnsi="宋体" w:cs="宋体"/>
                <w:color w:val="555555"/>
                <w:sz w:val="23"/>
                <w:szCs w:val="23"/>
              </w:rPr>
            </w:pPr>
            <w:r w:rsidRPr="00EC39A1">
              <w:rPr>
                <w:rFonts w:ascii="方正小标宋简体" w:eastAsia="方正小标宋简体" w:hAnsi="宋体" w:cs="宋体" w:hint="eastAsia"/>
                <w:color w:val="555555"/>
                <w:sz w:val="44"/>
                <w:szCs w:val="44"/>
              </w:rPr>
              <w:t>富顺县人民政府</w:t>
            </w:r>
          </w:p>
          <w:p w:rsidR="00EC39A1" w:rsidRPr="00EC39A1" w:rsidRDefault="00EC39A1" w:rsidP="00EC39A1">
            <w:pPr>
              <w:adjustRightInd/>
              <w:snapToGrid/>
              <w:spacing w:after="150" w:line="592" w:lineRule="atLeast"/>
              <w:jc w:val="center"/>
              <w:rPr>
                <w:rFonts w:ascii="宋体" w:eastAsia="宋体" w:hAnsi="宋体" w:cs="宋体"/>
                <w:color w:val="555555"/>
                <w:sz w:val="23"/>
                <w:szCs w:val="23"/>
              </w:rPr>
            </w:pPr>
            <w:r w:rsidRPr="00EC39A1">
              <w:rPr>
                <w:rFonts w:ascii="方正小标宋简体" w:eastAsia="方正小标宋简体" w:hAnsi="宋体" w:cs="宋体" w:hint="eastAsia"/>
                <w:color w:val="555555"/>
                <w:sz w:val="44"/>
                <w:szCs w:val="44"/>
              </w:rPr>
              <w:t>关于印发《富顺县重大招商引资引智项目26条扶持政策》的通知</w:t>
            </w:r>
          </w:p>
          <w:p w:rsidR="00EC39A1" w:rsidRPr="00EC39A1" w:rsidRDefault="00EC39A1" w:rsidP="00EC39A1">
            <w:pPr>
              <w:adjustRightInd/>
              <w:snapToGrid/>
              <w:spacing w:after="150" w:line="592" w:lineRule="atLeast"/>
              <w:jc w:val="center"/>
              <w:rPr>
                <w:rFonts w:ascii="宋体" w:eastAsia="宋体" w:hAnsi="宋体" w:cs="宋体"/>
                <w:color w:val="555555"/>
                <w:sz w:val="23"/>
                <w:szCs w:val="23"/>
              </w:rPr>
            </w:pPr>
            <w:r w:rsidRPr="00EC39A1">
              <w:rPr>
                <w:rFonts w:ascii="方正小标宋简体" w:eastAsia="方正小标宋简体" w:hAnsi="宋体" w:cs="宋体" w:hint="eastAsia"/>
                <w:color w:val="555555"/>
                <w:sz w:val="44"/>
                <w:szCs w:val="44"/>
              </w:rPr>
              <w:t> </w:t>
            </w:r>
          </w:p>
          <w:p w:rsidR="00EC39A1" w:rsidRPr="00EC39A1" w:rsidRDefault="00EC39A1" w:rsidP="00EC39A1">
            <w:pPr>
              <w:adjustRightInd/>
              <w:snapToGrid/>
              <w:spacing w:after="150" w:line="480" w:lineRule="auto"/>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各镇乡人民政府，县级各部门，自贡晨光科技园区管委会：</w:t>
            </w:r>
          </w:p>
          <w:p w:rsidR="00EC39A1" w:rsidRPr="00EC39A1" w:rsidRDefault="00EC39A1" w:rsidP="00EC39A1">
            <w:pPr>
              <w:adjustRightInd/>
              <w:snapToGrid/>
              <w:spacing w:after="150" w:line="480" w:lineRule="auto"/>
              <w:ind w:firstLine="640"/>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《富顺县重大招商引资引智项目26条扶持政策》经县第十六届人民政府第9次常务会审议通过，并报十二届县委第17次常委会审定。现印发给你们，请认真贯彻执行。</w:t>
            </w:r>
            <w:r w:rsidRPr="00EC39A1">
              <w:rPr>
                <w:rFonts w:ascii="宋体" w:eastAsia="宋体" w:hAnsi="宋体" w:cs="宋体" w:hint="eastAsia"/>
                <w:color w:val="555555"/>
                <w:sz w:val="24"/>
                <w:szCs w:val="24"/>
              </w:rPr>
              <w:t> </w:t>
            </w:r>
          </w:p>
          <w:p w:rsidR="00EC39A1" w:rsidRPr="00EC39A1" w:rsidRDefault="00EC39A1" w:rsidP="00EC39A1">
            <w:pPr>
              <w:adjustRightInd/>
              <w:snapToGrid/>
              <w:spacing w:after="150" w:line="480" w:lineRule="auto"/>
              <w:jc w:val="right"/>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                             </w:t>
            </w:r>
            <w:r w:rsidRPr="00EC39A1">
              <w:rPr>
                <w:rFonts w:ascii="仿宋_GB2312" w:eastAsia="仿宋_GB2312" w:hAnsi="宋体" w:cs="宋体" w:hint="eastAsia"/>
                <w:color w:val="555555"/>
                <w:sz w:val="32"/>
              </w:rPr>
              <w:t> </w:t>
            </w:r>
            <w:r w:rsidRPr="00EC39A1">
              <w:rPr>
                <w:rFonts w:ascii="仿宋_GB2312" w:eastAsia="仿宋_GB2312" w:hAnsi="宋体" w:cs="宋体" w:hint="eastAsia"/>
                <w:color w:val="555555"/>
                <w:sz w:val="32"/>
                <w:szCs w:val="32"/>
              </w:rPr>
              <w:t>富顺县人民政府</w:t>
            </w:r>
          </w:p>
          <w:p w:rsidR="00EC39A1" w:rsidRPr="00EC39A1" w:rsidRDefault="00EC39A1" w:rsidP="00EC39A1">
            <w:pPr>
              <w:adjustRightInd/>
              <w:snapToGrid/>
              <w:spacing w:after="150" w:line="480" w:lineRule="auto"/>
              <w:jc w:val="right"/>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                             </w:t>
            </w:r>
            <w:r w:rsidRPr="00EC39A1">
              <w:rPr>
                <w:rFonts w:ascii="仿宋_GB2312" w:eastAsia="仿宋_GB2312" w:hAnsi="宋体" w:cs="宋体" w:hint="eastAsia"/>
                <w:color w:val="555555"/>
                <w:sz w:val="32"/>
                <w:szCs w:val="32"/>
              </w:rPr>
              <w:t xml:space="preserve"> 2017年5月28日</w:t>
            </w:r>
          </w:p>
          <w:p w:rsidR="00EC39A1" w:rsidRPr="00EC39A1" w:rsidRDefault="00EC39A1" w:rsidP="00EC39A1">
            <w:pPr>
              <w:adjustRightInd/>
              <w:snapToGrid/>
              <w:spacing w:after="150" w:line="592" w:lineRule="atLeast"/>
              <w:jc w:val="center"/>
              <w:rPr>
                <w:rFonts w:ascii="宋体" w:eastAsia="宋体" w:hAnsi="宋体" w:cs="宋体"/>
                <w:color w:val="555555"/>
                <w:sz w:val="23"/>
                <w:szCs w:val="23"/>
              </w:rPr>
            </w:pPr>
            <w:r w:rsidRPr="00EC39A1">
              <w:rPr>
                <w:rFonts w:ascii="方正小标宋简体" w:eastAsia="方正小标宋简体" w:hAnsi="宋体" w:cs="宋体" w:hint="eastAsia"/>
                <w:color w:val="555555"/>
                <w:sz w:val="44"/>
                <w:szCs w:val="44"/>
              </w:rPr>
              <w:t>富顺县重大招商引资引智项目26条扶持政策</w:t>
            </w:r>
          </w:p>
          <w:p w:rsidR="00EC39A1" w:rsidRPr="00EC39A1" w:rsidRDefault="00EC39A1" w:rsidP="00EC39A1">
            <w:pPr>
              <w:adjustRightInd/>
              <w:snapToGrid/>
              <w:spacing w:after="150" w:line="592" w:lineRule="atLeast"/>
              <w:ind w:firstLine="730"/>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 </w:t>
            </w:r>
          </w:p>
          <w:p w:rsidR="00EC39A1" w:rsidRPr="00EC39A1" w:rsidRDefault="00EC39A1" w:rsidP="00EC39A1">
            <w:pPr>
              <w:adjustRightInd/>
              <w:snapToGrid/>
              <w:spacing w:after="150" w:line="592" w:lineRule="atLeast"/>
              <w:ind w:firstLine="730"/>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为加强招商引资引智工作，提升我县对外开放水平，发挥重大招商引资项目和优秀人才对“推动振兴发展、决胜全面小康”的重要作用，根据《自贡市重大招商引资引智项目25条扶持政策》规定，特制定以下扶持政策。</w:t>
            </w:r>
          </w:p>
          <w:p w:rsidR="00EC39A1" w:rsidRPr="00EC39A1" w:rsidRDefault="00EC39A1" w:rsidP="00EC39A1">
            <w:pPr>
              <w:adjustRightInd/>
              <w:snapToGrid/>
              <w:spacing w:after="150" w:line="592" w:lineRule="atLeast"/>
              <w:ind w:firstLine="730"/>
              <w:rPr>
                <w:rFonts w:ascii="宋体" w:eastAsia="宋体" w:hAnsi="宋体" w:cs="宋体"/>
                <w:color w:val="555555"/>
                <w:sz w:val="23"/>
                <w:szCs w:val="23"/>
              </w:rPr>
            </w:pPr>
            <w:r w:rsidRPr="00EC39A1">
              <w:rPr>
                <w:rFonts w:ascii="黑体" w:eastAsia="黑体" w:hAnsi="黑体" w:cs="宋体" w:hint="eastAsia"/>
                <w:color w:val="555555"/>
                <w:sz w:val="32"/>
                <w:szCs w:val="32"/>
              </w:rPr>
              <w:t>一、适用范围</w:t>
            </w:r>
          </w:p>
          <w:p w:rsidR="00EC39A1" w:rsidRPr="00EC39A1" w:rsidRDefault="00EC39A1" w:rsidP="00EC39A1">
            <w:pPr>
              <w:adjustRightInd/>
              <w:snapToGrid/>
              <w:spacing w:after="150" w:line="592" w:lineRule="atLeast"/>
              <w:ind w:firstLine="640"/>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（一）本政策所指的重大招商引资项目为：投资额在1亿元以上（含1亿元）的相关二、三产业项</w:t>
            </w:r>
            <w:r w:rsidRPr="00EC39A1">
              <w:rPr>
                <w:rFonts w:ascii="仿宋_GB2312" w:eastAsia="仿宋_GB2312" w:hAnsi="宋体" w:cs="宋体" w:hint="eastAsia"/>
                <w:color w:val="555555"/>
                <w:sz w:val="32"/>
                <w:szCs w:val="32"/>
              </w:rPr>
              <w:lastRenderedPageBreak/>
              <w:t>目，投资额在5000万元以上（含5000万元）的一、二、三产业融合项目和投资额在2000万元以上（含2000万元）的现代农业项目。新引进的高层次人才、创新平台须符合本政策相关规定。</w:t>
            </w:r>
          </w:p>
          <w:p w:rsidR="00EC39A1" w:rsidRPr="00EC39A1" w:rsidRDefault="00EC39A1" w:rsidP="00EC39A1">
            <w:pPr>
              <w:adjustRightInd/>
              <w:snapToGrid/>
              <w:spacing w:after="150" w:line="592" w:lineRule="atLeast"/>
              <w:ind w:firstLine="640"/>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二）符合国家产业政策、富顺县产业发展规划和园区布局规划，符合国家环保、安全法律法规的企业按照投资协议约定履约并正常经营，工商注册和税收解缴在富顺县县域内的投资或引智项目，经我县对外开放领导小组办公室认定，可享受本政策。</w:t>
            </w:r>
          </w:p>
          <w:p w:rsidR="00EC39A1" w:rsidRPr="00EC39A1" w:rsidRDefault="00EC39A1" w:rsidP="00EC39A1">
            <w:pPr>
              <w:adjustRightInd/>
              <w:snapToGrid/>
              <w:spacing w:after="150" w:line="592" w:lineRule="atLeast"/>
              <w:ind w:firstLine="730"/>
              <w:rPr>
                <w:rFonts w:ascii="宋体" w:eastAsia="宋体" w:hAnsi="宋体" w:cs="宋体"/>
                <w:color w:val="555555"/>
                <w:sz w:val="23"/>
                <w:szCs w:val="23"/>
              </w:rPr>
            </w:pPr>
            <w:r w:rsidRPr="00EC39A1">
              <w:rPr>
                <w:rFonts w:ascii="黑体" w:eastAsia="黑体" w:hAnsi="黑体" w:cs="宋体" w:hint="eastAsia"/>
                <w:color w:val="555555"/>
                <w:sz w:val="32"/>
                <w:szCs w:val="32"/>
              </w:rPr>
              <w:t>二、土地厂房政策</w:t>
            </w:r>
          </w:p>
          <w:p w:rsidR="00EC39A1" w:rsidRPr="00EC39A1" w:rsidRDefault="00EC39A1" w:rsidP="00EC39A1">
            <w:pPr>
              <w:adjustRightInd/>
              <w:snapToGrid/>
              <w:spacing w:after="150" w:line="592" w:lineRule="atLeast"/>
              <w:ind w:firstLine="640"/>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三）凡符合本政策的二、三产业项目，在土地供给中，二产业项目工业用地按照工业用地最低价标准执行；生产性、鼓励性三产业项目用地以土地评估价为重要参考依据，按不低于成本价、不低于基准地价70%，通过招拍挂方式依法取得土地使用权；鼓励一产业项目采用流转、租赁等方式获得土地使用权。</w:t>
            </w:r>
          </w:p>
          <w:p w:rsidR="00EC39A1" w:rsidRPr="00EC39A1" w:rsidRDefault="00EC39A1" w:rsidP="00EC39A1">
            <w:pPr>
              <w:adjustRightInd/>
              <w:snapToGrid/>
              <w:spacing w:after="150" w:line="592" w:lineRule="atLeast"/>
              <w:ind w:firstLine="640"/>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（四）鼓励采取租赁、先租后让、租让结合、弹性年期出让等供地方式，降低企业用地成本。</w:t>
            </w:r>
          </w:p>
          <w:p w:rsidR="00EC39A1" w:rsidRPr="00EC39A1" w:rsidRDefault="00EC39A1" w:rsidP="00EC39A1">
            <w:pPr>
              <w:adjustRightInd/>
              <w:snapToGrid/>
              <w:spacing w:after="150" w:line="592" w:lineRule="atLeast"/>
              <w:ind w:firstLine="640"/>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五）鼓励引进项目集约节约用地，建设多层厂房。对容积率达到规定标准，并经有关部门验收用于生产的多层工业标准化厂房，从第二层起按厂房建筑面积每平方米100元的标准给予一次性补助，最高不超过300万元。园区内原有工业企业经审批同意在原厂房上建多层厂房，也享受同等补助。</w:t>
            </w:r>
          </w:p>
          <w:p w:rsidR="00EC39A1" w:rsidRPr="00EC39A1" w:rsidRDefault="00EC39A1" w:rsidP="00EC39A1">
            <w:pPr>
              <w:adjustRightInd/>
              <w:snapToGrid/>
              <w:spacing w:after="150" w:line="592" w:lineRule="atLeast"/>
              <w:rPr>
                <w:rFonts w:ascii="Helvetica" w:eastAsia="宋体" w:hAnsi="Helvetica" w:cs="Helvetica"/>
                <w:color w:val="555555"/>
                <w:sz w:val="23"/>
                <w:szCs w:val="23"/>
              </w:rPr>
            </w:pPr>
            <w:r w:rsidRPr="00EC39A1">
              <w:rPr>
                <w:rFonts w:ascii="仿宋_GB2312" w:eastAsia="仿宋_GB2312" w:hAnsi="Helvetica" w:cs="Helvetica" w:hint="eastAsia"/>
                <w:color w:val="555555"/>
                <w:sz w:val="32"/>
                <w:szCs w:val="32"/>
              </w:rPr>
              <w:t>   </w:t>
            </w:r>
            <w:r w:rsidRPr="00EC39A1">
              <w:rPr>
                <w:rFonts w:ascii="仿宋_GB2312" w:eastAsia="仿宋_GB2312" w:hAnsi="Helvetica" w:cs="Helvetica" w:hint="eastAsia"/>
                <w:color w:val="555555"/>
                <w:sz w:val="32"/>
              </w:rPr>
              <w:t> </w:t>
            </w:r>
            <w:r w:rsidRPr="00EC39A1">
              <w:rPr>
                <w:rFonts w:ascii="仿宋_GB2312" w:eastAsia="仿宋_GB2312" w:hAnsi="Helvetica" w:cs="Helvetica" w:hint="eastAsia"/>
                <w:color w:val="555555"/>
                <w:sz w:val="32"/>
                <w:szCs w:val="32"/>
              </w:rPr>
              <w:t>（六）鼓励企业入驻园区租赁工业标准化厂房，在前两年租赁期内，对租赁的厂房每平方每月给予5元的补贴，每户企业累计不超过50万元；鼓励现代服务业企业租赁中心城区闲置物业，对年营业额达到5000万元以上的企业，在前两年租赁期内，给予每平方米每月10元的补贴，每户企业累计不超过100万元。</w:t>
            </w:r>
          </w:p>
          <w:p w:rsidR="00EC39A1" w:rsidRPr="00EC39A1" w:rsidRDefault="00EC39A1" w:rsidP="00EC39A1">
            <w:pPr>
              <w:adjustRightInd/>
              <w:snapToGrid/>
              <w:spacing w:after="150" w:line="592" w:lineRule="atLeast"/>
              <w:ind w:firstLine="730"/>
              <w:rPr>
                <w:rFonts w:ascii="宋体" w:eastAsia="宋体" w:hAnsi="宋体" w:cs="宋体"/>
                <w:color w:val="555555"/>
                <w:sz w:val="23"/>
                <w:szCs w:val="23"/>
              </w:rPr>
            </w:pPr>
            <w:r w:rsidRPr="00EC39A1">
              <w:rPr>
                <w:rFonts w:ascii="黑体" w:eastAsia="黑体" w:hAnsi="黑体" w:cs="宋体" w:hint="eastAsia"/>
                <w:color w:val="555555"/>
                <w:sz w:val="32"/>
                <w:szCs w:val="32"/>
              </w:rPr>
              <w:t>三、财政扶持政策</w:t>
            </w:r>
          </w:p>
          <w:p w:rsidR="00EC39A1" w:rsidRPr="00EC39A1" w:rsidRDefault="00EC39A1" w:rsidP="00EC39A1">
            <w:pPr>
              <w:adjustRightInd/>
              <w:snapToGrid/>
              <w:spacing w:after="150" w:line="592" w:lineRule="atLeast"/>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   </w:t>
            </w:r>
            <w:r w:rsidRPr="00EC39A1">
              <w:rPr>
                <w:rFonts w:ascii="仿宋_GB2312" w:eastAsia="仿宋_GB2312" w:hAnsi="宋体" w:cs="宋体" w:hint="eastAsia"/>
                <w:color w:val="555555"/>
                <w:sz w:val="32"/>
              </w:rPr>
              <w:t> </w:t>
            </w:r>
            <w:r w:rsidRPr="00EC39A1">
              <w:rPr>
                <w:rFonts w:ascii="仿宋_GB2312" w:eastAsia="仿宋_GB2312" w:hAnsi="宋体" w:cs="宋体" w:hint="eastAsia"/>
                <w:color w:val="555555"/>
                <w:sz w:val="32"/>
                <w:szCs w:val="32"/>
              </w:rPr>
              <w:t>（七）对新引进的经相关部门认定的国家级高新技术企业、国家级创新型企业，按照企业投产后的第一、二年连续两年销售收入的1%给予企业一次性奖励，奖励额度不超过该企业此两年对县级地方</w:t>
            </w:r>
            <w:r w:rsidRPr="00EC39A1">
              <w:rPr>
                <w:rFonts w:ascii="仿宋_GB2312" w:eastAsia="仿宋_GB2312" w:hAnsi="宋体" w:cs="宋体" w:hint="eastAsia"/>
                <w:color w:val="555555"/>
                <w:sz w:val="32"/>
                <w:szCs w:val="32"/>
              </w:rPr>
              <w:lastRenderedPageBreak/>
              <w:t>财政税收性贡献，且最高不超过2000万元。</w:t>
            </w:r>
          </w:p>
          <w:p w:rsidR="00EC39A1" w:rsidRPr="00EC39A1" w:rsidRDefault="00EC39A1" w:rsidP="00EC39A1">
            <w:pPr>
              <w:adjustRightInd/>
              <w:snapToGrid/>
              <w:spacing w:after="150" w:line="592" w:lineRule="atLeast"/>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   </w:t>
            </w:r>
            <w:r w:rsidRPr="00EC39A1">
              <w:rPr>
                <w:rFonts w:ascii="仿宋_GB2312" w:eastAsia="仿宋_GB2312" w:hAnsi="宋体" w:cs="宋体" w:hint="eastAsia"/>
                <w:color w:val="555555"/>
                <w:sz w:val="32"/>
              </w:rPr>
              <w:t> </w:t>
            </w:r>
            <w:r w:rsidRPr="00EC39A1">
              <w:rPr>
                <w:rFonts w:ascii="仿宋_GB2312" w:eastAsia="仿宋_GB2312" w:hAnsi="宋体" w:cs="宋体" w:hint="eastAsia"/>
                <w:color w:val="555555"/>
                <w:sz w:val="32"/>
                <w:szCs w:val="32"/>
              </w:rPr>
              <w:t>（八）对重大招商引资项目的投资建设期间的行政事业性收费（基金）原则上按每平方米20元包干收取。</w:t>
            </w:r>
          </w:p>
          <w:p w:rsidR="00EC39A1" w:rsidRPr="00EC39A1" w:rsidRDefault="00EC39A1" w:rsidP="00EC39A1">
            <w:pPr>
              <w:adjustRightInd/>
              <w:snapToGrid/>
              <w:spacing w:after="150" w:line="592" w:lineRule="atLeast"/>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   </w:t>
            </w:r>
            <w:r w:rsidRPr="00EC39A1">
              <w:rPr>
                <w:rFonts w:ascii="仿宋_GB2312" w:eastAsia="仿宋_GB2312" w:hAnsi="宋体" w:cs="宋体" w:hint="eastAsia"/>
                <w:color w:val="555555"/>
                <w:sz w:val="32"/>
              </w:rPr>
              <w:t> </w:t>
            </w:r>
            <w:r w:rsidRPr="00EC39A1">
              <w:rPr>
                <w:rFonts w:ascii="仿宋_GB2312" w:eastAsia="仿宋_GB2312" w:hAnsi="宋体" w:cs="宋体" w:hint="eastAsia"/>
                <w:color w:val="555555"/>
                <w:sz w:val="32"/>
                <w:szCs w:val="32"/>
              </w:rPr>
              <w:t>（九）对新引进的投资额在1亿元以上（含1亿元）的节能环保装备、新材料、航空与燃机、生物医药、电力装备和新能源汽车六大战略性新兴产业，化工及新材料、食品加工、纺织服装传统产业，新一代电子信息、页岩气、机械制造新能源潜力产业项目，项目如期竣工并投产后，按形成固定资产投入总额的0.6%给予一次性奖励，最高奖励600万元。</w:t>
            </w:r>
          </w:p>
          <w:p w:rsidR="00EC39A1" w:rsidRPr="00EC39A1" w:rsidRDefault="00EC39A1" w:rsidP="00EC39A1">
            <w:pPr>
              <w:adjustRightInd/>
              <w:snapToGrid/>
              <w:spacing w:after="150" w:line="592" w:lineRule="atLeast"/>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   </w:t>
            </w:r>
            <w:r w:rsidRPr="00EC39A1">
              <w:rPr>
                <w:rFonts w:ascii="仿宋_GB2312" w:eastAsia="仿宋_GB2312" w:hAnsi="宋体" w:cs="宋体" w:hint="eastAsia"/>
                <w:color w:val="555555"/>
                <w:sz w:val="32"/>
              </w:rPr>
              <w:t> </w:t>
            </w:r>
            <w:r w:rsidRPr="00EC39A1">
              <w:rPr>
                <w:rFonts w:ascii="仿宋_GB2312" w:eastAsia="仿宋_GB2312" w:hAnsi="宋体" w:cs="宋体" w:hint="eastAsia"/>
                <w:color w:val="555555"/>
                <w:sz w:val="32"/>
                <w:szCs w:val="32"/>
              </w:rPr>
              <w:t>（十）对新引进的投资额在1亿元以上（含1亿元）的商贸物流、电子商务、现代金融、文化旅游、医疗康养、教育培训、航空服务及其他新兴先导型服务业等第三产业项目，项目如期竣工并投用后，按形成固定资产投入总额的0.3%给予企业一次性奖励，最高奖励300万元。</w:t>
            </w:r>
          </w:p>
          <w:p w:rsidR="00EC39A1" w:rsidRPr="00EC39A1" w:rsidRDefault="00EC39A1" w:rsidP="00EC39A1">
            <w:pPr>
              <w:adjustRightInd/>
              <w:snapToGrid/>
              <w:spacing w:after="150" w:line="592" w:lineRule="atLeast"/>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   </w:t>
            </w:r>
            <w:r w:rsidRPr="00EC39A1">
              <w:rPr>
                <w:rFonts w:ascii="仿宋_GB2312" w:eastAsia="仿宋_GB2312" w:hAnsi="宋体" w:cs="宋体" w:hint="eastAsia"/>
                <w:color w:val="555555"/>
                <w:sz w:val="32"/>
              </w:rPr>
              <w:t> </w:t>
            </w:r>
            <w:r w:rsidRPr="00EC39A1">
              <w:rPr>
                <w:rFonts w:ascii="仿宋_GB2312" w:eastAsia="仿宋_GB2312" w:hAnsi="宋体" w:cs="宋体" w:hint="eastAsia"/>
                <w:color w:val="555555"/>
                <w:sz w:val="32"/>
                <w:szCs w:val="32"/>
              </w:rPr>
              <w:t>（十一）对新引进的投资额在5000万元以上（含5000万元）的一、二、三产业融合项目和投资额在2000万元以上（含2000万元）的现代农业项目，项目如期竣工并投产后，按形成固定资产投入总额的1%给予企业一次性奖励，最高奖励300万元。符合本条政策的项目建设期贷款，前两年按照中国人民银行两年期贷款基准利率的50%给予企业贷款贴息。</w:t>
            </w:r>
          </w:p>
          <w:p w:rsidR="00EC39A1" w:rsidRPr="00EC39A1" w:rsidRDefault="00EC39A1" w:rsidP="00EC39A1">
            <w:pPr>
              <w:adjustRightInd/>
              <w:snapToGrid/>
              <w:spacing w:after="150" w:line="592" w:lineRule="atLeast"/>
              <w:ind w:firstLine="646"/>
              <w:rPr>
                <w:rFonts w:ascii="Helvetica" w:eastAsia="宋体" w:hAnsi="Helvetica" w:cs="Helvetica"/>
                <w:color w:val="555555"/>
                <w:sz w:val="23"/>
                <w:szCs w:val="23"/>
              </w:rPr>
            </w:pPr>
            <w:r w:rsidRPr="00EC39A1">
              <w:rPr>
                <w:rFonts w:ascii="仿宋_GB2312" w:eastAsia="仿宋_GB2312" w:hAnsi="Helvetica" w:cs="Helvetica" w:hint="eastAsia"/>
                <w:color w:val="555555"/>
                <w:sz w:val="32"/>
                <w:szCs w:val="32"/>
              </w:rPr>
              <w:t>（十二）在我县依法新设立国家和省级重点实验室、创新中心、工程技术研究中心等机构，按国家级每户100万元、省级每户50万元的标准，一次性给予落户奖励。世界500强企业、国内500强企业、行业100强企业在我县设立企业总部（或地区总部）机构，按世界500强企业每户200万元、国内500强企业每户100万元、行业100强企业每户50万元的标准，一次性给予落户奖励。县外规模上企业总部（区域性总部）落户富顺，前三</w:t>
            </w:r>
            <w:r w:rsidRPr="00EC39A1">
              <w:rPr>
                <w:rFonts w:ascii="仿宋_GB2312" w:eastAsia="仿宋_GB2312" w:hAnsi="Helvetica" w:cs="Helvetica" w:hint="eastAsia"/>
                <w:color w:val="555555"/>
                <w:spacing w:val="-11"/>
                <w:sz w:val="32"/>
                <w:szCs w:val="32"/>
              </w:rPr>
              <w:t>年按照县级地方财政税收性贡献，以不低于50%标准给予奖励扶持。</w:t>
            </w:r>
          </w:p>
          <w:p w:rsidR="00EC39A1" w:rsidRPr="00EC39A1" w:rsidRDefault="00EC39A1" w:rsidP="00EC39A1">
            <w:pPr>
              <w:adjustRightInd/>
              <w:snapToGrid/>
              <w:spacing w:after="150" w:line="592" w:lineRule="atLeast"/>
              <w:ind w:firstLine="646"/>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（十三）对新引进的证券、基金、银行、保险、信托、融资租赁等金融企业在我县设立独立法人机构的，年度内对县级地方财政税收性贡献100万元以上，一次性给予100万元奖励。</w:t>
            </w:r>
          </w:p>
          <w:p w:rsidR="00EC39A1" w:rsidRPr="00EC39A1" w:rsidRDefault="00EC39A1" w:rsidP="00EC39A1">
            <w:pPr>
              <w:adjustRightInd/>
              <w:snapToGrid/>
              <w:spacing w:after="150" w:line="592" w:lineRule="atLeast"/>
              <w:ind w:firstLine="646"/>
              <w:rPr>
                <w:rFonts w:ascii="宋体" w:eastAsia="宋体" w:hAnsi="宋体" w:cs="宋体"/>
                <w:color w:val="555555"/>
                <w:sz w:val="23"/>
                <w:szCs w:val="23"/>
              </w:rPr>
            </w:pPr>
            <w:r w:rsidRPr="00EC39A1">
              <w:rPr>
                <w:rFonts w:ascii="仿宋_GB2312" w:eastAsia="仿宋_GB2312" w:hAnsi="宋体" w:cs="宋体" w:hint="eastAsia"/>
                <w:color w:val="555555"/>
                <w:sz w:val="32"/>
                <w:szCs w:val="32"/>
              </w:rPr>
              <w:lastRenderedPageBreak/>
              <w:t>（十四）采用买壳、借壳方式（主板、中小板、创业板）上市，并将上市公司注册地迁至富顺县域的，年度内对县级地方财政税收性贡献100万元以上，由财政给予100-500万元奖励。</w:t>
            </w:r>
          </w:p>
          <w:p w:rsidR="00EC39A1" w:rsidRPr="00EC39A1" w:rsidRDefault="00EC39A1" w:rsidP="00EC39A1">
            <w:pPr>
              <w:adjustRightInd/>
              <w:snapToGrid/>
              <w:spacing w:after="150" w:line="592" w:lineRule="atLeast"/>
              <w:ind w:firstLine="730"/>
              <w:rPr>
                <w:rFonts w:ascii="宋体" w:eastAsia="宋体" w:hAnsi="宋体" w:cs="宋体"/>
                <w:color w:val="555555"/>
                <w:sz w:val="23"/>
                <w:szCs w:val="23"/>
              </w:rPr>
            </w:pPr>
            <w:r w:rsidRPr="00EC39A1">
              <w:rPr>
                <w:rFonts w:ascii="黑体" w:eastAsia="黑体" w:hAnsi="黑体" w:cs="宋体" w:hint="eastAsia"/>
                <w:color w:val="555555"/>
                <w:sz w:val="32"/>
                <w:szCs w:val="32"/>
              </w:rPr>
              <w:t>四、人才政策</w:t>
            </w:r>
          </w:p>
          <w:p w:rsidR="00EC39A1" w:rsidRPr="00EC39A1" w:rsidRDefault="00EC39A1" w:rsidP="00EC39A1">
            <w:pPr>
              <w:adjustRightInd/>
              <w:snapToGrid/>
              <w:spacing w:after="150" w:line="592" w:lineRule="atLeast"/>
              <w:ind w:firstLine="480"/>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十五）对新引进来县工作的“两院”院士、“国家特支计划”和国家“千人计划”入选者、中国科学院“百人计划”入选者、国家杰出青年科学基金获奖者、国家有突出贡献中青年专家、“百千万人才工程”国家级人选、“长江学者”和省“千人计划”入选者、省级学术技术带头人等高层次人才，与县内用人单位签订5年以上工作合同且每年工作时间一般为6个月以上的，或携项目、资金、技术到我县各类园区创办企业且在当地已办理工商登记的，经评审后，按国家级每人50</w:t>
            </w:r>
            <w:r w:rsidRPr="00EC39A1">
              <w:rPr>
                <w:rFonts w:ascii="仿宋" w:eastAsia="仿宋" w:hAnsi="仿宋" w:cs="宋体" w:hint="eastAsia"/>
                <w:color w:val="555555"/>
                <w:sz w:val="32"/>
                <w:szCs w:val="32"/>
              </w:rPr>
              <w:t>—</w:t>
            </w:r>
            <w:r w:rsidRPr="00EC39A1">
              <w:rPr>
                <w:rFonts w:ascii="仿宋_GB2312" w:eastAsia="仿宋_GB2312" w:hAnsi="宋体" w:cs="宋体" w:hint="eastAsia"/>
                <w:color w:val="555555"/>
                <w:sz w:val="32"/>
                <w:szCs w:val="32"/>
              </w:rPr>
              <w:t>100万元、省级每人20</w:t>
            </w:r>
            <w:r w:rsidRPr="00EC39A1">
              <w:rPr>
                <w:rFonts w:ascii="仿宋" w:eastAsia="仿宋" w:hAnsi="仿宋" w:cs="宋体" w:hint="eastAsia"/>
                <w:color w:val="555555"/>
                <w:sz w:val="32"/>
                <w:szCs w:val="32"/>
              </w:rPr>
              <w:t>—</w:t>
            </w:r>
            <w:r w:rsidRPr="00EC39A1">
              <w:rPr>
                <w:rFonts w:ascii="仿宋_GB2312" w:eastAsia="仿宋_GB2312" w:hAnsi="宋体" w:cs="宋体" w:hint="eastAsia"/>
                <w:color w:val="555555"/>
                <w:sz w:val="32"/>
                <w:szCs w:val="32"/>
              </w:rPr>
              <w:t>50万元的标准，给予一次性安家补助。</w:t>
            </w:r>
          </w:p>
          <w:p w:rsidR="00EC39A1" w:rsidRPr="00EC39A1" w:rsidRDefault="00EC39A1" w:rsidP="00EC39A1">
            <w:pPr>
              <w:adjustRightInd/>
              <w:snapToGrid/>
              <w:spacing w:after="150" w:line="592" w:lineRule="atLeast"/>
              <w:ind w:firstLine="480"/>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（十六）对来富顺县创新创业成效显著，经评审后，入选自贡市高层次人才“双千计划”创业创新团队的，给予50</w:t>
            </w:r>
            <w:r w:rsidRPr="00EC39A1">
              <w:rPr>
                <w:rFonts w:ascii="仿宋" w:eastAsia="仿宋" w:hAnsi="仿宋" w:cs="宋体" w:hint="eastAsia"/>
                <w:color w:val="555555"/>
                <w:sz w:val="32"/>
                <w:szCs w:val="32"/>
              </w:rPr>
              <w:t>—</w:t>
            </w:r>
            <w:r w:rsidRPr="00EC39A1">
              <w:rPr>
                <w:rFonts w:ascii="仿宋_GB2312" w:eastAsia="仿宋_GB2312" w:hAnsi="宋体" w:cs="宋体" w:hint="eastAsia"/>
                <w:color w:val="555555"/>
                <w:sz w:val="32"/>
                <w:szCs w:val="32"/>
              </w:rPr>
              <w:t>200万元的资金资助；入选“领军人才”或“优秀专家”的，给予10</w:t>
            </w:r>
            <w:r w:rsidRPr="00EC39A1">
              <w:rPr>
                <w:rFonts w:ascii="仿宋" w:eastAsia="仿宋" w:hAnsi="仿宋" w:cs="宋体" w:hint="eastAsia"/>
                <w:color w:val="555555"/>
                <w:sz w:val="32"/>
                <w:szCs w:val="32"/>
              </w:rPr>
              <w:t>—</w:t>
            </w:r>
            <w:r w:rsidRPr="00EC39A1">
              <w:rPr>
                <w:rFonts w:ascii="仿宋_GB2312" w:eastAsia="仿宋_GB2312" w:hAnsi="宋体" w:cs="宋体" w:hint="eastAsia"/>
                <w:color w:val="555555"/>
                <w:sz w:val="32"/>
                <w:szCs w:val="32"/>
              </w:rPr>
              <w:t>20万元的资金资助。</w:t>
            </w:r>
          </w:p>
          <w:p w:rsidR="00EC39A1" w:rsidRPr="00EC39A1" w:rsidRDefault="00EC39A1" w:rsidP="00EC39A1">
            <w:pPr>
              <w:adjustRightInd/>
              <w:snapToGrid/>
              <w:spacing w:after="150" w:line="592" w:lineRule="atLeast"/>
              <w:ind w:firstLine="646"/>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（十七）对带自主知识产权入驻富顺县创业的国家“千人计划”的人才和在园区创业新申报并入选国家“千人计划”的人才，经评审后，一次性最高给予每人100万元的创业资金补助。</w:t>
            </w:r>
          </w:p>
          <w:p w:rsidR="00EC39A1" w:rsidRPr="00EC39A1" w:rsidRDefault="00EC39A1" w:rsidP="00EC39A1">
            <w:pPr>
              <w:adjustRightInd/>
              <w:snapToGrid/>
              <w:spacing w:after="150" w:line="592" w:lineRule="atLeast"/>
              <w:ind w:firstLine="640"/>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（十八）对企业新引进的高层次人才或团队，获得国家、省级科技奖励的，经认定后，按实际所获奖金的50%给予奖励。</w:t>
            </w:r>
          </w:p>
          <w:p w:rsidR="00EC39A1" w:rsidRPr="00EC39A1" w:rsidRDefault="00EC39A1" w:rsidP="00EC39A1">
            <w:pPr>
              <w:adjustRightInd/>
              <w:snapToGrid/>
              <w:spacing w:after="150" w:line="592" w:lineRule="atLeast"/>
              <w:ind w:firstLine="640"/>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（十九）企业开展劳动力培训，由人社部门按四川省就业创业资金管理使用办法的相关规定，负责指导企业实施员工的相关培训，并按政策规定给予培训补助。</w:t>
            </w:r>
          </w:p>
          <w:p w:rsidR="00EC39A1" w:rsidRPr="00EC39A1" w:rsidRDefault="00EC39A1" w:rsidP="00EC39A1">
            <w:pPr>
              <w:adjustRightInd/>
              <w:snapToGrid/>
              <w:spacing w:after="150" w:line="592" w:lineRule="atLeast"/>
              <w:ind w:firstLine="730"/>
              <w:rPr>
                <w:rFonts w:ascii="宋体" w:eastAsia="宋体" w:hAnsi="宋体" w:cs="宋体"/>
                <w:color w:val="555555"/>
                <w:sz w:val="23"/>
                <w:szCs w:val="23"/>
              </w:rPr>
            </w:pPr>
            <w:r w:rsidRPr="00EC39A1">
              <w:rPr>
                <w:rFonts w:ascii="黑体" w:eastAsia="黑体" w:hAnsi="黑体" w:cs="宋体" w:hint="eastAsia"/>
                <w:color w:val="555555"/>
                <w:sz w:val="32"/>
                <w:szCs w:val="32"/>
              </w:rPr>
              <w:t>五、水、电、气政策</w:t>
            </w:r>
          </w:p>
          <w:p w:rsidR="00EC39A1" w:rsidRPr="00EC39A1" w:rsidRDefault="00EC39A1" w:rsidP="00EC39A1">
            <w:pPr>
              <w:adjustRightInd/>
              <w:snapToGrid/>
              <w:spacing w:after="150" w:line="592" w:lineRule="atLeast"/>
              <w:ind w:firstLine="547"/>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（二十）对纳入县级统筹的重大招商引资项目，供水、供电、供气管线主接口接通到企业用地红线外50米范围内。企业正式用水、用电、用气由企业提出申请，各招商主体负责代办，并按最低收费标准执</w:t>
            </w:r>
            <w:r w:rsidRPr="00EC39A1">
              <w:rPr>
                <w:rFonts w:ascii="仿宋_GB2312" w:eastAsia="仿宋_GB2312" w:hAnsi="宋体" w:cs="宋体" w:hint="eastAsia"/>
                <w:color w:val="555555"/>
                <w:sz w:val="32"/>
                <w:szCs w:val="32"/>
              </w:rPr>
              <w:lastRenderedPageBreak/>
              <w:t>行，费用由企业承担。</w:t>
            </w:r>
          </w:p>
          <w:p w:rsidR="00EC39A1" w:rsidRPr="00EC39A1" w:rsidRDefault="00EC39A1" w:rsidP="00EC39A1">
            <w:pPr>
              <w:adjustRightInd/>
              <w:snapToGrid/>
              <w:spacing w:after="150" w:line="592" w:lineRule="atLeast"/>
              <w:ind w:firstLine="646"/>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（二十一）严格执行非居民用天然气和一般工商业、大工业用电价格政策。对日用气3万立方米以上的园区企业或新增用户，积极协调推进转供改直供。</w:t>
            </w:r>
          </w:p>
          <w:p w:rsidR="00EC39A1" w:rsidRPr="00EC39A1" w:rsidRDefault="00EC39A1" w:rsidP="00EC39A1">
            <w:pPr>
              <w:adjustRightInd/>
              <w:snapToGrid/>
              <w:spacing w:after="150" w:line="592" w:lineRule="atLeast"/>
              <w:ind w:firstLine="730"/>
              <w:rPr>
                <w:rFonts w:ascii="宋体" w:eastAsia="宋体" w:hAnsi="宋体" w:cs="宋体"/>
                <w:color w:val="555555"/>
                <w:sz w:val="23"/>
                <w:szCs w:val="23"/>
              </w:rPr>
            </w:pPr>
            <w:r w:rsidRPr="00EC39A1">
              <w:rPr>
                <w:rFonts w:ascii="黑体" w:eastAsia="黑体" w:hAnsi="黑体" w:cs="宋体" w:hint="eastAsia"/>
                <w:color w:val="555555"/>
                <w:sz w:val="32"/>
                <w:szCs w:val="32"/>
              </w:rPr>
              <w:t>六、政务服务</w:t>
            </w:r>
          </w:p>
          <w:p w:rsidR="00EC39A1" w:rsidRPr="00EC39A1" w:rsidRDefault="00EC39A1" w:rsidP="00EC39A1">
            <w:pPr>
              <w:adjustRightInd/>
              <w:snapToGrid/>
              <w:spacing w:after="150" w:line="592" w:lineRule="atLeast"/>
              <w:ind w:firstLine="730"/>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（二十二）对重大招商引资项目提供全程代办服务，简化审批流程，建立“快速通道”，特事特办。</w:t>
            </w:r>
          </w:p>
          <w:p w:rsidR="00EC39A1" w:rsidRPr="00EC39A1" w:rsidRDefault="00EC39A1" w:rsidP="00EC39A1">
            <w:pPr>
              <w:adjustRightInd/>
              <w:snapToGrid/>
              <w:spacing w:after="150" w:line="592" w:lineRule="atLeast"/>
              <w:ind w:firstLine="730"/>
              <w:rPr>
                <w:rFonts w:ascii="宋体" w:eastAsia="宋体" w:hAnsi="宋体" w:cs="宋体"/>
                <w:color w:val="555555"/>
                <w:sz w:val="23"/>
                <w:szCs w:val="23"/>
              </w:rPr>
            </w:pPr>
            <w:r w:rsidRPr="00EC39A1">
              <w:rPr>
                <w:rFonts w:ascii="黑体" w:eastAsia="黑体" w:hAnsi="黑体" w:cs="宋体" w:hint="eastAsia"/>
                <w:color w:val="555555"/>
                <w:sz w:val="32"/>
                <w:szCs w:val="32"/>
              </w:rPr>
              <w:t>七、政策执行</w:t>
            </w:r>
          </w:p>
          <w:p w:rsidR="00EC39A1" w:rsidRPr="00EC39A1" w:rsidRDefault="00EC39A1" w:rsidP="00EC39A1">
            <w:pPr>
              <w:adjustRightInd/>
              <w:snapToGrid/>
              <w:spacing w:after="150" w:line="592" w:lineRule="atLeast"/>
              <w:ind w:firstLine="640"/>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二十三）凡属世界500强企业、国内500强企业、行业100强企业、国内主板上市企业在我县投资的；其他企业投资属于国家发改委《产业结构调整指导目录（2013年版）》鼓励类产业或者纳入四川省《战略性新兴产业（产品）发展指导目录（2016年）》的且投资额为2亿元以上（含2亿元）的一产业项目，投资额为5亿元以上（含5亿元）的二、三产业项目等特别重大招商引资项目；以及对富顺县产业发展具有特别引领带动作用或具有特别影响力的高层次人才，可以采取“一事一议”的方式研究扶持政策。</w:t>
            </w:r>
          </w:p>
          <w:p w:rsidR="00EC39A1" w:rsidRPr="00EC39A1" w:rsidRDefault="00EC39A1" w:rsidP="00EC39A1">
            <w:pPr>
              <w:adjustRightInd/>
              <w:snapToGrid/>
              <w:spacing w:after="150" w:line="592" w:lineRule="atLeast"/>
              <w:ind w:firstLine="640"/>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二十四）我县现有企业扩大再生产或者技术改造项目，其新增投资额符合本政策规定范围或者其对县级地方财政税收贡献增量部分满足本政策相关规定的，参照本政策执行。本政策施行期间，国家、省、市、县新出台有关招商引资法律法规及政策规定的，从其规定。</w:t>
            </w:r>
          </w:p>
          <w:p w:rsidR="00EC39A1" w:rsidRPr="00EC39A1" w:rsidRDefault="00EC39A1" w:rsidP="00EC39A1">
            <w:pPr>
              <w:adjustRightInd/>
              <w:snapToGrid/>
              <w:spacing w:after="150" w:line="592" w:lineRule="atLeast"/>
              <w:ind w:firstLine="640"/>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（二十五）本政策由县对外开放领导小组办公室负责解释。</w:t>
            </w:r>
          </w:p>
          <w:p w:rsidR="00EC39A1" w:rsidRPr="00EC39A1" w:rsidRDefault="00EC39A1" w:rsidP="00EC39A1">
            <w:pPr>
              <w:adjustRightInd/>
              <w:snapToGrid/>
              <w:spacing w:after="150" w:line="592" w:lineRule="atLeast"/>
              <w:ind w:firstLine="640"/>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（二十六）本政策自印发之日起施行，有效期五年。</w:t>
            </w:r>
          </w:p>
          <w:p w:rsidR="00EC39A1" w:rsidRPr="00EC39A1" w:rsidRDefault="00EC39A1" w:rsidP="00EC39A1">
            <w:pPr>
              <w:adjustRightInd/>
              <w:snapToGrid/>
              <w:spacing w:after="150" w:line="592" w:lineRule="atLeast"/>
              <w:ind w:firstLine="320"/>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 </w:t>
            </w:r>
            <w:r w:rsidRPr="00EC39A1">
              <w:rPr>
                <w:rFonts w:ascii="仿宋_GB2312" w:eastAsia="仿宋_GB2312" w:hAnsi="宋体" w:cs="宋体" w:hint="eastAsia"/>
                <w:color w:val="555555"/>
                <w:sz w:val="32"/>
                <w:szCs w:val="32"/>
              </w:rPr>
              <w:t>附件：补充规定</w:t>
            </w:r>
            <w:r w:rsidRPr="00EC39A1">
              <w:rPr>
                <w:rFonts w:ascii="仿宋_GB2312" w:eastAsia="仿宋_GB2312" w:hAnsi="宋体" w:cs="宋体" w:hint="eastAsia"/>
                <w:color w:val="555555"/>
                <w:sz w:val="32"/>
                <w:szCs w:val="32"/>
              </w:rPr>
              <w:t> </w:t>
            </w:r>
          </w:p>
          <w:p w:rsidR="00EC39A1" w:rsidRPr="00EC39A1" w:rsidRDefault="00EC39A1" w:rsidP="00EC39A1">
            <w:pPr>
              <w:adjustRightInd/>
              <w:snapToGrid/>
              <w:spacing w:after="150" w:line="592" w:lineRule="atLeast"/>
              <w:rPr>
                <w:rFonts w:ascii="宋体" w:eastAsia="宋体" w:hAnsi="宋体" w:cs="宋体"/>
                <w:color w:val="555555"/>
                <w:sz w:val="23"/>
                <w:szCs w:val="23"/>
              </w:rPr>
            </w:pPr>
            <w:r w:rsidRPr="00EC39A1">
              <w:rPr>
                <w:rFonts w:ascii="宋体" w:eastAsia="宋体" w:hAnsi="宋体" w:cs="宋体"/>
                <w:color w:val="555555"/>
                <w:sz w:val="23"/>
                <w:szCs w:val="23"/>
              </w:rPr>
              <w:t> </w:t>
            </w:r>
          </w:p>
          <w:p w:rsidR="00EC39A1" w:rsidRPr="00EC39A1" w:rsidRDefault="00EC39A1" w:rsidP="00EC39A1">
            <w:pPr>
              <w:adjustRightInd/>
              <w:snapToGrid/>
              <w:spacing w:after="150" w:line="592" w:lineRule="atLeast"/>
              <w:jc w:val="center"/>
              <w:rPr>
                <w:rFonts w:ascii="宋体" w:eastAsia="宋体" w:hAnsi="宋体" w:cs="宋体"/>
                <w:color w:val="555555"/>
                <w:sz w:val="23"/>
                <w:szCs w:val="23"/>
              </w:rPr>
            </w:pPr>
            <w:r w:rsidRPr="00EC39A1">
              <w:rPr>
                <w:rFonts w:ascii="方正小标宋简体" w:eastAsia="方正小标宋简体" w:hAnsi="宋体" w:cs="宋体" w:hint="eastAsia"/>
                <w:color w:val="555555"/>
                <w:sz w:val="44"/>
                <w:szCs w:val="44"/>
              </w:rPr>
              <w:lastRenderedPageBreak/>
              <w:t>补 充 规 定</w:t>
            </w:r>
          </w:p>
          <w:p w:rsidR="00EC39A1" w:rsidRPr="00EC39A1" w:rsidRDefault="00EC39A1" w:rsidP="00EC39A1">
            <w:pPr>
              <w:adjustRightInd/>
              <w:snapToGrid/>
              <w:spacing w:after="150" w:line="592" w:lineRule="atLeast"/>
              <w:rPr>
                <w:rFonts w:ascii="宋体" w:eastAsia="宋体" w:hAnsi="宋体" w:cs="宋体"/>
                <w:color w:val="555555"/>
                <w:sz w:val="23"/>
                <w:szCs w:val="23"/>
              </w:rPr>
            </w:pPr>
            <w:r w:rsidRPr="00EC39A1">
              <w:rPr>
                <w:rFonts w:ascii="仿宋_GB2312" w:eastAsia="仿宋_GB2312" w:hAnsi="宋体" w:cs="宋体" w:hint="eastAsia"/>
                <w:color w:val="555555"/>
                <w:sz w:val="32"/>
                <w:szCs w:val="32"/>
              </w:rPr>
              <w:t> </w:t>
            </w:r>
            <w:r w:rsidRPr="00EC39A1">
              <w:rPr>
                <w:rFonts w:ascii="仿宋_GB2312" w:eastAsia="仿宋_GB2312" w:hAnsi="宋体" w:cs="宋体" w:hint="eastAsia"/>
                <w:color w:val="555555"/>
                <w:sz w:val="32"/>
                <w:szCs w:val="32"/>
              </w:rPr>
              <w:t xml:space="preserve"> </w:t>
            </w:r>
            <w:r w:rsidRPr="00EC39A1">
              <w:rPr>
                <w:rFonts w:ascii="仿宋_GB2312" w:eastAsia="仿宋_GB2312" w:hAnsi="宋体" w:cs="宋体" w:hint="eastAsia"/>
                <w:color w:val="555555"/>
                <w:sz w:val="32"/>
                <w:szCs w:val="32"/>
              </w:rPr>
              <w:t>  </w:t>
            </w:r>
            <w:r w:rsidRPr="00EC39A1">
              <w:rPr>
                <w:rFonts w:ascii="仿宋_GB2312" w:eastAsia="仿宋_GB2312" w:hAnsi="宋体" w:cs="宋体" w:hint="eastAsia"/>
                <w:color w:val="555555"/>
                <w:sz w:val="32"/>
                <w:szCs w:val="32"/>
              </w:rPr>
              <w:t>本政策第1条投资额包括：固定资产投资、无形资产投资、</w:t>
            </w:r>
            <w:hyperlink r:id="rId4" w:tgtFrame="_blank" w:history="1">
              <w:r w:rsidRPr="00EC39A1">
                <w:rPr>
                  <w:rFonts w:ascii="仿宋_GB2312" w:eastAsia="仿宋_GB2312" w:hAnsi="宋体" w:cs="宋体" w:hint="eastAsia"/>
                  <w:sz w:val="32"/>
                </w:rPr>
                <w:t>递延资产</w:t>
              </w:r>
            </w:hyperlink>
            <w:r w:rsidRPr="00EC39A1">
              <w:rPr>
                <w:rFonts w:ascii="仿宋_GB2312" w:eastAsia="仿宋_GB2312" w:hAnsi="宋体" w:cs="宋体" w:hint="eastAsia"/>
                <w:color w:val="555555"/>
                <w:sz w:val="32"/>
                <w:szCs w:val="32"/>
              </w:rPr>
              <w:t>投资、建设期借款利息和</w:t>
            </w:r>
            <w:hyperlink r:id="rId5" w:tgtFrame="_blank" w:history="1">
              <w:r w:rsidRPr="00EC39A1">
                <w:rPr>
                  <w:rFonts w:ascii="仿宋_GB2312" w:eastAsia="仿宋_GB2312" w:hAnsi="宋体" w:cs="宋体" w:hint="eastAsia"/>
                  <w:sz w:val="32"/>
                </w:rPr>
                <w:t>流动资产投资</w:t>
              </w:r>
            </w:hyperlink>
            <w:r w:rsidRPr="00EC39A1">
              <w:rPr>
                <w:rFonts w:ascii="仿宋_GB2312" w:eastAsia="仿宋_GB2312" w:hAnsi="宋体" w:cs="宋体" w:hint="eastAsia"/>
                <w:color w:val="555555"/>
                <w:sz w:val="32"/>
                <w:szCs w:val="32"/>
              </w:rPr>
              <w:t>。第1、2、23、24条项目由县对外开放领导小组办公室认定。第3、4条由县国土资源局负责牵头办理。第5、6、7条由县经科信局、县财政局负责办理。第8条由县政务中心负责办理。第9条由县经科信局负责办理。第10条由县商务局负责办理。第11条由县农委办、县农牧业局、县财政局负责办理。第12条由县经科信局、县商务局负责牵头办理。第13、14条由县政府金融办、县财政局负责牵头办理。第15</w:t>
            </w:r>
            <w:r w:rsidRPr="00EC39A1">
              <w:rPr>
                <w:rFonts w:ascii="仿宋" w:eastAsia="仿宋" w:hAnsi="仿宋" w:cs="宋体" w:hint="eastAsia"/>
                <w:color w:val="555555"/>
                <w:sz w:val="32"/>
                <w:szCs w:val="32"/>
              </w:rPr>
              <w:t>—</w:t>
            </w:r>
            <w:r w:rsidRPr="00EC39A1">
              <w:rPr>
                <w:rFonts w:ascii="仿宋_GB2312" w:eastAsia="仿宋_GB2312" w:hAnsi="宋体" w:cs="宋体" w:hint="eastAsia"/>
                <w:color w:val="555555"/>
                <w:sz w:val="32"/>
                <w:szCs w:val="32"/>
              </w:rPr>
              <w:t>17条由县人才办负责牵头办理。第18条由县经科信局牵头办理。第19条由县人社局负责牵头办理。第20、21条由县经科信局、县水务局负责牵头办理。第22条由县政务服务中心负责办理。</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0B6651"/>
    <w:rsid w:val="00323B43"/>
    <w:rsid w:val="003D37D8"/>
    <w:rsid w:val="00426133"/>
    <w:rsid w:val="004358AB"/>
    <w:rsid w:val="008B7726"/>
    <w:rsid w:val="00D31D50"/>
    <w:rsid w:val="00EC39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C39A1"/>
    <w:rPr>
      <w:b/>
      <w:bCs/>
    </w:rPr>
  </w:style>
  <w:style w:type="character" w:customStyle="1" w:styleId="apple-converted-space">
    <w:name w:val="apple-converted-space"/>
    <w:basedOn w:val="a0"/>
    <w:rsid w:val="00EC39A1"/>
  </w:style>
  <w:style w:type="paragraph" w:customStyle="1" w:styleId="listparagraph1">
    <w:name w:val="listparagraph1"/>
    <w:basedOn w:val="a"/>
    <w:rsid w:val="00EC39A1"/>
    <w:pPr>
      <w:adjustRightInd/>
      <w:snapToGrid/>
      <w:spacing w:before="100" w:beforeAutospacing="1" w:after="100" w:afterAutospacing="1"/>
    </w:pPr>
    <w:rPr>
      <w:rFonts w:ascii="宋体" w:eastAsia="宋体" w:hAnsi="宋体" w:cs="宋体"/>
      <w:sz w:val="24"/>
      <w:szCs w:val="24"/>
    </w:rPr>
  </w:style>
  <w:style w:type="character" w:styleId="a4">
    <w:name w:val="Hyperlink"/>
    <w:basedOn w:val="a0"/>
    <w:uiPriority w:val="99"/>
    <w:semiHidden/>
    <w:unhideWhenUsed/>
    <w:rsid w:val="00EC39A1"/>
    <w:rPr>
      <w:color w:val="0000FF"/>
      <w:u w:val="single"/>
    </w:rPr>
  </w:style>
</w:styles>
</file>

<file path=word/webSettings.xml><?xml version="1.0" encoding="utf-8"?>
<w:webSettings xmlns:r="http://schemas.openxmlformats.org/officeDocument/2006/relationships" xmlns:w="http://schemas.openxmlformats.org/wordprocessingml/2006/main">
  <w:divs>
    <w:div w:id="1706633919">
      <w:bodyDiv w:val="1"/>
      <w:marLeft w:val="0"/>
      <w:marRight w:val="0"/>
      <w:marTop w:val="0"/>
      <w:marBottom w:val="0"/>
      <w:divBdr>
        <w:top w:val="none" w:sz="0" w:space="0" w:color="auto"/>
        <w:left w:val="none" w:sz="0" w:space="0" w:color="auto"/>
        <w:bottom w:val="none" w:sz="0" w:space="0" w:color="auto"/>
        <w:right w:val="none" w:sz="0" w:space="0" w:color="auto"/>
      </w:divBdr>
      <w:divsChild>
        <w:div w:id="1166088113">
          <w:marLeft w:val="1200"/>
          <w:marRight w:val="12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com/s?q=%E6%B5%81%E5%8A%A8%E8%B5%84%E4%BA%A7%E6%8A%95%E8%B5%84&amp;ie=utf-8&amp;src=wenda_link" TargetMode="External"/><Relationship Id="rId4" Type="http://schemas.openxmlformats.org/officeDocument/2006/relationships/hyperlink" Target="http://www.so.com/s?q=%E9%80%92%E5%BB%B6%E8%B5%84%E4%BA%A7&amp;ie=utf-8&amp;src=wenda_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3</cp:revision>
  <dcterms:created xsi:type="dcterms:W3CDTF">2008-09-11T17:20:00Z</dcterms:created>
  <dcterms:modified xsi:type="dcterms:W3CDTF">2018-05-23T18:33:00Z</dcterms:modified>
</cp:coreProperties>
</file>