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2C" w:rsidRPr="008A252C" w:rsidRDefault="008A252C" w:rsidP="008A252C">
      <w:pPr>
        <w:widowControl/>
        <w:spacing w:line="720" w:lineRule="atLeast"/>
        <w:jc w:val="left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51"/>
          <w:szCs w:val="51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36"/>
          <w:sz w:val="51"/>
          <w:szCs w:val="51"/>
        </w:rPr>
        <w:t>重庆市引进高层次人才若干优惠政策规定实施细则</w:t>
      </w:r>
    </w:p>
    <w:p w:rsidR="008A252C" w:rsidRPr="008A252C" w:rsidRDefault="008A252C" w:rsidP="008A252C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252C">
        <w:rPr>
          <w:rFonts w:ascii="宋体" w:eastAsia="宋体" w:hAnsi="宋体" w:cs="宋体" w:hint="eastAsia"/>
          <w:color w:val="999999"/>
          <w:kern w:val="0"/>
          <w:sz w:val="24"/>
          <w:szCs w:val="24"/>
        </w:rPr>
        <w:t>发布时间：2014-12-03 14:08来源：重庆市政府</w:t>
      </w:r>
    </w:p>
    <w:p w:rsidR="008A252C" w:rsidRPr="008A252C" w:rsidRDefault="008A252C" w:rsidP="008A252C">
      <w:pPr>
        <w:widowControl/>
        <w:spacing w:line="405" w:lineRule="atLeast"/>
        <w:jc w:val="left"/>
        <w:rPr>
          <w:rFonts w:ascii="宋体" w:eastAsia="宋体" w:hAnsi="宋体" w:cs="宋体"/>
          <w:color w:val="777777"/>
          <w:kern w:val="0"/>
          <w:sz w:val="24"/>
          <w:szCs w:val="24"/>
        </w:rPr>
      </w:pPr>
      <w:r w:rsidRPr="008A25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【导语】：</w:t>
      </w:r>
      <w:r w:rsidRPr="008A252C">
        <w:rPr>
          <w:rFonts w:ascii="宋体" w:eastAsia="宋体" w:hAnsi="宋体" w:cs="宋体" w:hint="eastAsia"/>
          <w:color w:val="777777"/>
          <w:kern w:val="0"/>
          <w:sz w:val="24"/>
          <w:szCs w:val="24"/>
        </w:rPr>
        <w:t>现将《〈重庆市引进高层次人才若干优惠政策规定〉实施细则》印发给你们，请认真贯彻执行。</w:t>
      </w:r>
    </w:p>
    <w:p w:rsidR="008A252C" w:rsidRPr="008A252C" w:rsidRDefault="008A252C" w:rsidP="008A252C">
      <w:pPr>
        <w:widowControl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　　关于印发《〈重庆市引进高层次人才若干优惠政策规定〉实施细则》的通知</w:t>
      </w:r>
      <w:bookmarkStart w:id="0" w:name="_GoBack"/>
      <w:bookmarkEnd w:id="0"/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各区县(自治县)党委组织部、政府人事局，市委各部委、市级国家机关各部门、各人民团体组织(干部、人事)处(部)，市属重点企业、在渝普通高校人事处，中央在渝单位、金融机构组织(干部、人事)处(部)：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现将《〈重庆市引进高层次人才若干优惠政策规定〉实施细则》印发给你们，请认真贯彻执行。</w:t>
      </w:r>
    </w:p>
    <w:p w:rsidR="008A252C" w:rsidRPr="008A252C" w:rsidRDefault="008A252C" w:rsidP="008A252C">
      <w:pPr>
        <w:widowControl/>
        <w:spacing w:line="48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中共重庆市委人才工作领导小组办公室</w:t>
      </w:r>
    </w:p>
    <w:p w:rsidR="008A252C" w:rsidRPr="008A252C" w:rsidRDefault="008A252C" w:rsidP="008A252C">
      <w:pPr>
        <w:widowControl/>
        <w:spacing w:line="48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2009年11月18日</w:t>
      </w:r>
    </w:p>
    <w:p w:rsidR="008A252C" w:rsidRPr="008A252C" w:rsidRDefault="008A252C" w:rsidP="008A252C">
      <w:pPr>
        <w:widowControl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重庆市引进高层次人才若干优惠政策规定实施细则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第一章 总 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第一条为明确、规范相关工作程序，促进优惠政策落实，优化高层次人才服务，根据重庆市人民政府《关于印发重庆市引进高层次人才若干优惠政策规定的通知》(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渝府发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〔2009〕58号，以下简称《规定》)精神，制定本细则。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第二条 本《细则》除一次性安家补助政策外，适用于现有人才。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lastRenderedPageBreak/>
        <w:t xml:space="preserve">　　第二章 人才认定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第三条 适用对象：符合《规定》第八条规定的高层次人才。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第四条 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)《重庆市引进高层次人才申报表》(附件1);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(二)申报人的学历、职称、重要荣誉证书、重要业绩材料、工作经历证明、调入(迁入)手续、与引才单位签订的聘用合同等资料原件及复印件。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第五条 认定程序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)用人单位将以上材料报市人力社保局;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(二)市人力社保局会同市级相关部门、有关专家进行审查;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(三)审查通过后在重庆人力资源和社会保障网公示3天;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(四)公示期满无问题反映或反映问题不影响人员确认的，由市人力社保局会同市级相关部门发文确认。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第三章 政策兑现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六条市人力社保局编印《重庆市引进高层次人才若干优惠政策手册》，并按《规定》逐一核准高层次人才应享受的政策，将手册发放至高层次人才。市级相关部门、区县(自治县)、用人单位按照《规定》，对确认的高层次人才逐项兑现政策，并在《手册》上签章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第七条 住房使用办理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)适用对象：调入(迁入)或柔性引进每年在渝工作半年以上的高层次人才。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用人单位依据确认的高层次人才名单，征求高层次人才意见后，按《规定》办理住房使用事宜，并在《住房使用申请表》上签章。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第八条　一次性安家补助费申领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)适用对象：2009年5月11日以后调入(迁入)并与用人单位签订5年以上聘用合同，符合《规定》第八条规定的第一类、第二类、第三类人才。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(二)申报及发放程序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1.用人单位持《手册》向市人力社保局申请一次性安家补助费;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2.市人力社保局进行审查后，将市财政划拨的一次性安家补助费拨付至用人单位，并在《一次性安家补助费申请表》上签章，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15个工作日内办结;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3.用人单位收到拨款后3日内，将市财政划拨的经费和本单位的补助费，一同发放给人才个人，并在《一次性安家补助费申请表》上签章。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第九条 购</w:t>
      </w:r>
      <w:proofErr w:type="gramStart"/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房契税</w:t>
      </w:r>
      <w:proofErr w:type="gramEnd"/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减免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)适用对象：在本市购买首套商品房用于本人居住的高层次人才。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1.用人单位持《手册》和高层次人才首次购买本市商品房证明，报购房所在地区县(自治县)财政局;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2.区县(自治县)财政局进行审查后，办理契税免征手续，并在《购置首套商品房免征契税申请表》上签章。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20个工作日内办结。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第十条 车辆购置税减免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)适用对象：来渝工作或服务，购买一辆国产小汽车的留学人员(含香港、澳门地区)。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1.车主身份证明、车辆价格证明、车辆合格证明;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2.留学所在国(地区)大使馆或领事馆(中央人民政府驻香港联络办公室教育科技部、中央人民政府驻澳门联络办公室宣传文化部)出具的留学证明;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3.车辆购置税免税申请表、车辆购置税纳税申报表。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(三)审批程序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1.留学人员持《手册》向车辆入户所在地国税部门提交相关材料(主城区统一在车辆购置税征收管理分局办理);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2.国税部门审查后，按规定办理免税手续，并在《留学人员车辆购置税免税申请表》上签章。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7个工作日办结。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第十一条 岗位津贴、特别补助费申领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)适用对象：调入(迁入)的第一类、第二类、第三类人才，柔性引进的第一类、第二类人才。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(二)申领及发放程序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1.市财政局依据确认的高层次人才名单及类别，将岗位津贴划拨至市人力社保局，由市人力社保局按月发放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至人才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个人;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2.引进人才具有两种以上荣誉称号的，其津贴按最高档次发放;柔性引进的人才，其津贴按合同约定的在渝工作时间发放;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3.引进到“两翼”地区和国家扶贫工作重点县长期工作的人才，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其专家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特别补助由区县(自治县)财政部门划拨到区县(自治县)人力社保部门，由区县(自治县)人力社保部门按月发放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至人才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个人;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4.市、区县(自治县)人力社保部门完成发放后，在《岗位津贴、特别补助费审批表》上签章;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5.人才因调离本市、退休等原因不能继续在原岗位工作的，其所在单位人事部门应在15日内书面报告市、区县(自治县)人力社保部门，并从次月起停发相关津贴。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第十二条 个人财政补助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)适用对象：在渝工作并在本市缴纳个人所得税的高层次人才。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1.用人单位持《手册》及相关资料，到单位所在地区县(自治县)财政局申报;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2.区县(自治县)财政局进行审查，对符合条件的人才兑现政策，并在《个人财政补助申请表》上签章。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自接件后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第十三条 科研用品税收优惠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)适用对象：回国定居或来华工作连续1年(含1年)以上，且符合《规定》第二十三条规定的人才。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1.关于科研用品税收优惠的函件;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2.确认的高层次人才名单;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3.海关部门要求提供的其他资料。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(三)审批程序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1.用人单位向海关部门提交以上材料;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2.海关部门进行审查，对符合条件的人才兑现政策。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第十四条 企业税收优惠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)适用对象：符合《规定》第二十六条、第二十七条、第二十九条规定的企业。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1.企业关于税收优惠的函件;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2.确认的高层次人才名单;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3.税务部门要求提供的其它资料。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(三)审批或备案程序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1.符合条件的企业向税务部门提交以上材料;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2.税务部门进行审查，并对符合条件的企业兑现政策。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第十五条 企业财政扶持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)适用对象：符合《规定》第二十七条、第二十八条规定的企业。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1.企业关于申请财政扶持的函件;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2.确认的高层次人才名单;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3.市级相关部门出具的企业认证，企业法人营业执照、税务登记证、税务票据等资料原件和复印件。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(三)审批程序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1.企业向所在区县(自治县)财政局提交以上材料;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2.区县(自治县)财政局进行审核，并对符合条件的企业兑现相关政策。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第十六条 配套经费申领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)适用对象：符合《规定》第二十四条、第三十四条规定的人才。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(二)申报材料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1.关于申请配套经费的函件;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2.享受国家资助的相关文件资料;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3.确认的高层次人才名单。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(三)审批程序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1.用人单位向市财政局提交以上材料;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2.市财政局会同市级相关部门进行审核，并对符合条件的人才兑现相关政策。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第十七条 健康体检和疗养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)适用对象：符合《规定》第八条规定的第一类、第二类人才。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1.市财政局每年将高层次人才体检费、疗养费划拨至市人力社保局;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2.市人力社保局统一组织高层次人才健康检查和疗养。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第十八条 医疗保健证申领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)适用对象：符合《规定》第八条规定的人才。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1.用人单位持《手册》向市卫生局申报;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2.市卫生局进行审查后发放医疗保健证，并在《医疗保健证申请表》上签章。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7个工作日办结。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第十九条 外来人才工作居住证申领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)适用对象：柔性引进的具有中华人民共和国国籍的高层次人才。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1.引才单位持《手册》、人才近期登记照、身份证复印件，向用人单位所在地公安派出所提交申请;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2.公安派出所进行审查，对符合条件的人才发放外来人才工作居住证，并在《外来人才工作居住证申请表》上签章。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7个工作日办结。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8A252C">
        <w:rPr>
          <w:rFonts w:ascii="微软雅黑" w:eastAsia="微软雅黑" w:hAnsi="微软雅黑" w:cs="宋体" w:hint="eastAsia"/>
          <w:b/>
          <w:bCs/>
          <w:color w:val="E56600"/>
          <w:kern w:val="0"/>
          <w:sz w:val="27"/>
          <w:szCs w:val="27"/>
        </w:rPr>
        <w:t>第二十条 配偶随调、子女就业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)适用对象：符合《规定》第八条规定的人才。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1.用人单位将高层次人才配偶、子女的相关情况函告市人力社保局，并提供学历、职称、身份等证明材料原件和复印件;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2.市人力社保局配合用人单位，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函商相关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部门单位落实安置事宜。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第二十一条 未成年子女入学(托)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)适用对象：符合《规定》第八条规定的人才。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(二)办理程序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1.用人单位致函人才户口或工作单位所在地教育行政主管部门，并提交《手册》、人才与子女关系证明材料(户籍证明)、子女学籍等材料;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2.所在地教育行政主管部门进行审查后，办理子女入学(托)手续，并在《未成年子女入学(托)申请表》上签章。</w:t>
      </w:r>
      <w:proofErr w:type="gramStart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接件后</w:t>
      </w:r>
      <w:proofErr w:type="gramEnd"/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15个工作日办结。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第二十二条 《规定》中的其他优惠政策，由相关部门、单位按照规定组织落实。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第四章 监督管理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第二十三条 市人力社保局要加强高层次人才管理和服务。市委组织部、市人力社保局每半年组织一次人才在岗情况调查，每年组织一次政策落实情况检查，并将有关情况报告市委、市政府。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第二十四条 用人单位和人才个人提供的申报材料应真实准确，不得弄虚作假，否则一经查实将取消相应政策待遇，追回各类津贴补助、追缴减免费用，并予以通报。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第二十五条 政策申报各环节审核单位须对审核、认定事项的准确性和真实性负责，凡因徇私舞弊、弄虚作假等造成财政资金损失或不良影响的，按有关规定追究有关人员责任。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第二十六条 政策申报审批过程中，如不符合条件不予批准的，相关部门应在3个工作日内将申报材料退回并说明原因。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第五章 附 则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第二十七条 本《细则》由市人力社保局负责解释。</w:t>
      </w:r>
    </w:p>
    <w:p w:rsidR="008A252C" w:rsidRPr="008A252C" w:rsidRDefault="008A252C" w:rsidP="008A252C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第二十八条 本《细则》自发布之日起执行。</w:t>
      </w:r>
    </w:p>
    <w:p w:rsidR="008A252C" w:rsidRPr="008A252C" w:rsidRDefault="008A252C" w:rsidP="008A252C">
      <w:pPr>
        <w:widowControl/>
        <w:spacing w:line="48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中共重庆市委组织部办公室</w:t>
      </w:r>
    </w:p>
    <w:p w:rsidR="008A252C" w:rsidRPr="008A252C" w:rsidRDefault="008A252C" w:rsidP="008A252C">
      <w:pPr>
        <w:widowControl/>
        <w:spacing w:line="48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8A252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2009年11月19日印</w:t>
      </w:r>
    </w:p>
    <w:p w:rsidR="00494232" w:rsidRDefault="00494232"/>
    <w:sectPr w:rsidR="0049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5067E"/>
    <w:multiLevelType w:val="multilevel"/>
    <w:tmpl w:val="5B4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F8"/>
    <w:rsid w:val="002751A1"/>
    <w:rsid w:val="00494232"/>
    <w:rsid w:val="00871FF8"/>
    <w:rsid w:val="008A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C20D2-0290-44EC-B3EE-1F3AFFE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A25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A252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A252C"/>
    <w:rPr>
      <w:b/>
      <w:bCs/>
    </w:rPr>
  </w:style>
  <w:style w:type="character" w:customStyle="1" w:styleId="time">
    <w:name w:val="time"/>
    <w:basedOn w:val="a0"/>
    <w:rsid w:val="008A252C"/>
  </w:style>
  <w:style w:type="character" w:customStyle="1" w:styleId="form">
    <w:name w:val="form"/>
    <w:basedOn w:val="a0"/>
    <w:rsid w:val="008A252C"/>
  </w:style>
  <w:style w:type="character" w:customStyle="1" w:styleId="label">
    <w:name w:val="label"/>
    <w:basedOn w:val="a0"/>
    <w:rsid w:val="008A252C"/>
  </w:style>
  <w:style w:type="paragraph" w:styleId="a4">
    <w:name w:val="Normal (Web)"/>
    <w:basedOn w:val="a"/>
    <w:uiPriority w:val="99"/>
    <w:semiHidden/>
    <w:unhideWhenUsed/>
    <w:rsid w:val="008A2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01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91397">
              <w:marLeft w:val="0"/>
              <w:marRight w:val="0"/>
              <w:marTop w:val="225"/>
              <w:marBottom w:val="0"/>
              <w:divBdr>
                <w:top w:val="single" w:sz="6" w:space="8" w:color="EBEAEA"/>
                <w:left w:val="single" w:sz="6" w:space="8" w:color="EBEAEA"/>
                <w:bottom w:val="single" w:sz="6" w:space="8" w:color="EBEAEA"/>
                <w:right w:val="single" w:sz="6" w:space="8" w:color="EBEAEA"/>
              </w:divBdr>
            </w:div>
          </w:divsChild>
        </w:div>
        <w:div w:id="1356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649</Words>
  <Characters>3705</Characters>
  <Application>Microsoft Office Word</Application>
  <DocSecurity>0</DocSecurity>
  <Lines>30</Lines>
  <Paragraphs>8</Paragraphs>
  <ScaleCrop>false</ScaleCrop>
  <Company>微软中国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2018-10-25T02:41:00Z</dcterms:created>
  <dcterms:modified xsi:type="dcterms:W3CDTF">2018-10-25T05:32:00Z</dcterms:modified>
</cp:coreProperties>
</file>