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shd w:val="clear" w:color="auto" w:fill="FFFFFF"/>
        <w:tblCellMar>
          <w:left w:w="0" w:type="dxa"/>
          <w:right w:w="0" w:type="dxa"/>
        </w:tblCellMar>
        <w:tblLook w:val="04A0" w:firstRow="1" w:lastRow="0" w:firstColumn="1" w:lastColumn="0" w:noHBand="0" w:noVBand="1"/>
      </w:tblPr>
      <w:tblGrid>
        <w:gridCol w:w="8057"/>
      </w:tblGrid>
      <w:tr w:rsidR="00881DAA" w:rsidTr="00881DAA">
        <w:trPr>
          <w:tblCellSpacing w:w="0" w:type="dxa"/>
          <w:jc w:val="center"/>
        </w:trPr>
        <w:tc>
          <w:tcPr>
            <w:tcW w:w="0" w:type="auto"/>
            <w:shd w:val="clear" w:color="auto" w:fill="CCCCCC"/>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688"/>
              <w:gridCol w:w="2681"/>
              <w:gridCol w:w="2688"/>
            </w:tblGrid>
            <w:tr w:rsidR="00881DAA">
              <w:trPr>
                <w:trHeight w:val="360"/>
                <w:tblCellSpacing w:w="7" w:type="dxa"/>
              </w:trPr>
              <w:tc>
                <w:tcPr>
                  <w:tcW w:w="1250" w:type="pct"/>
                  <w:shd w:val="clear" w:color="auto" w:fill="FFFFFF"/>
                  <w:tcMar>
                    <w:top w:w="0" w:type="dxa"/>
                    <w:left w:w="0" w:type="dxa"/>
                    <w:bottom w:w="0" w:type="dxa"/>
                    <w:right w:w="0" w:type="dxa"/>
                  </w:tcMar>
                  <w:vAlign w:val="center"/>
                  <w:hideMark/>
                </w:tcPr>
                <w:p w:rsidR="00881DAA" w:rsidRDefault="00881DAA">
                  <w:pPr>
                    <w:widowControl/>
                    <w:jc w:val="left"/>
                    <w:rPr>
                      <w:sz w:val="18"/>
                      <w:szCs w:val="18"/>
                    </w:rPr>
                  </w:pPr>
                  <w:r>
                    <w:rPr>
                      <w:sz w:val="18"/>
                      <w:szCs w:val="18"/>
                    </w:rPr>
                    <w:t> </w:t>
                  </w:r>
                  <w:r>
                    <w:rPr>
                      <w:b/>
                      <w:bCs/>
                      <w:sz w:val="18"/>
                      <w:szCs w:val="18"/>
                    </w:rPr>
                    <w:t>信息分类：</w:t>
                  </w:r>
                  <w:r>
                    <w:rPr>
                      <w:sz w:val="18"/>
                      <w:szCs w:val="18"/>
                    </w:rPr>
                    <w:t> </w:t>
                  </w:r>
                  <w:r>
                    <w:rPr>
                      <w:rStyle w:val="cn4"/>
                      <w:sz w:val="18"/>
                      <w:szCs w:val="18"/>
                      <w:bdr w:val="none" w:sz="0" w:space="0" w:color="auto" w:frame="1"/>
                    </w:rPr>
                    <w:t>其他有关文件</w:t>
                  </w:r>
                </w:p>
              </w:tc>
              <w:tc>
                <w:tcPr>
                  <w:tcW w:w="1250" w:type="pct"/>
                  <w:shd w:val="clear" w:color="auto" w:fill="FFFFFF"/>
                  <w:tcMar>
                    <w:top w:w="0" w:type="dxa"/>
                    <w:left w:w="0" w:type="dxa"/>
                    <w:bottom w:w="0" w:type="dxa"/>
                    <w:right w:w="0" w:type="dxa"/>
                  </w:tcMar>
                  <w:vAlign w:val="center"/>
                  <w:hideMark/>
                </w:tcPr>
                <w:p w:rsidR="00881DAA" w:rsidRDefault="00881DAA">
                  <w:pPr>
                    <w:rPr>
                      <w:sz w:val="18"/>
                      <w:szCs w:val="18"/>
                    </w:rPr>
                  </w:pPr>
                  <w:r>
                    <w:rPr>
                      <w:sz w:val="18"/>
                      <w:szCs w:val="18"/>
                    </w:rPr>
                    <w:t> </w:t>
                  </w:r>
                  <w:r>
                    <w:rPr>
                      <w:b/>
                      <w:bCs/>
                      <w:sz w:val="18"/>
                      <w:szCs w:val="18"/>
                    </w:rPr>
                    <w:t>文件编号：</w:t>
                  </w:r>
                </w:p>
              </w:tc>
              <w:tc>
                <w:tcPr>
                  <w:tcW w:w="1250" w:type="pct"/>
                  <w:shd w:val="clear" w:color="auto" w:fill="FFFFFF"/>
                  <w:tcMar>
                    <w:top w:w="0" w:type="dxa"/>
                    <w:left w:w="0" w:type="dxa"/>
                    <w:bottom w:w="0" w:type="dxa"/>
                    <w:right w:w="0" w:type="dxa"/>
                  </w:tcMar>
                  <w:vAlign w:val="center"/>
                  <w:hideMark/>
                </w:tcPr>
                <w:p w:rsidR="00881DAA" w:rsidRDefault="00881DAA">
                  <w:pPr>
                    <w:rPr>
                      <w:sz w:val="18"/>
                      <w:szCs w:val="18"/>
                    </w:rPr>
                  </w:pPr>
                  <w:r>
                    <w:rPr>
                      <w:sz w:val="18"/>
                      <w:szCs w:val="18"/>
                    </w:rPr>
                    <w:t> </w:t>
                  </w:r>
                  <w:r>
                    <w:rPr>
                      <w:b/>
                      <w:bCs/>
                      <w:sz w:val="18"/>
                      <w:szCs w:val="18"/>
                    </w:rPr>
                    <w:t>公开方式：</w:t>
                  </w:r>
                  <w:r>
                    <w:rPr>
                      <w:sz w:val="18"/>
                      <w:szCs w:val="18"/>
                    </w:rPr>
                    <w:t> </w:t>
                  </w:r>
                  <w:r>
                    <w:rPr>
                      <w:rStyle w:val="cn4"/>
                      <w:sz w:val="18"/>
                      <w:szCs w:val="18"/>
                      <w:bdr w:val="none" w:sz="0" w:space="0" w:color="auto" w:frame="1"/>
                    </w:rPr>
                    <w:t>主动公开</w:t>
                  </w:r>
                </w:p>
              </w:tc>
            </w:tr>
            <w:tr w:rsidR="00881DAA">
              <w:trPr>
                <w:trHeight w:val="375"/>
                <w:tblCellSpacing w:w="7" w:type="dxa"/>
              </w:trPr>
              <w:tc>
                <w:tcPr>
                  <w:tcW w:w="1250" w:type="pct"/>
                  <w:shd w:val="clear" w:color="auto" w:fill="FFFFFF"/>
                  <w:tcMar>
                    <w:top w:w="0" w:type="dxa"/>
                    <w:left w:w="0" w:type="dxa"/>
                    <w:bottom w:w="0" w:type="dxa"/>
                    <w:right w:w="0" w:type="dxa"/>
                  </w:tcMar>
                  <w:vAlign w:val="center"/>
                  <w:hideMark/>
                </w:tcPr>
                <w:p w:rsidR="00881DAA" w:rsidRDefault="00881DAA">
                  <w:pPr>
                    <w:rPr>
                      <w:sz w:val="18"/>
                      <w:szCs w:val="18"/>
                    </w:rPr>
                  </w:pPr>
                  <w:r>
                    <w:rPr>
                      <w:sz w:val="18"/>
                      <w:szCs w:val="18"/>
                    </w:rPr>
                    <w:t> </w:t>
                  </w:r>
                  <w:r>
                    <w:rPr>
                      <w:b/>
                      <w:bCs/>
                      <w:sz w:val="18"/>
                      <w:szCs w:val="18"/>
                    </w:rPr>
                    <w:t>生成日期：</w:t>
                  </w:r>
                  <w:r>
                    <w:rPr>
                      <w:sz w:val="18"/>
                      <w:szCs w:val="18"/>
                    </w:rPr>
                    <w:t> </w:t>
                  </w:r>
                  <w:r>
                    <w:rPr>
                      <w:rStyle w:val="cn4"/>
                      <w:sz w:val="18"/>
                      <w:szCs w:val="18"/>
                      <w:bdr w:val="none" w:sz="0" w:space="0" w:color="auto" w:frame="1"/>
                    </w:rPr>
                    <w:t>2015-09-07</w:t>
                  </w:r>
                </w:p>
              </w:tc>
              <w:tc>
                <w:tcPr>
                  <w:tcW w:w="1250" w:type="pct"/>
                  <w:shd w:val="clear" w:color="auto" w:fill="FFFFFF"/>
                  <w:tcMar>
                    <w:top w:w="0" w:type="dxa"/>
                    <w:left w:w="0" w:type="dxa"/>
                    <w:bottom w:w="0" w:type="dxa"/>
                    <w:right w:w="0" w:type="dxa"/>
                  </w:tcMar>
                  <w:vAlign w:val="center"/>
                  <w:hideMark/>
                </w:tcPr>
                <w:p w:rsidR="00881DAA" w:rsidRDefault="00881DAA">
                  <w:pPr>
                    <w:rPr>
                      <w:sz w:val="18"/>
                      <w:szCs w:val="18"/>
                    </w:rPr>
                  </w:pPr>
                  <w:r>
                    <w:rPr>
                      <w:sz w:val="18"/>
                      <w:szCs w:val="18"/>
                    </w:rPr>
                    <w:t> </w:t>
                  </w:r>
                  <w:r>
                    <w:rPr>
                      <w:b/>
                      <w:bCs/>
                      <w:sz w:val="18"/>
                      <w:szCs w:val="18"/>
                    </w:rPr>
                    <w:t>公开时限：</w:t>
                  </w:r>
                  <w:r>
                    <w:rPr>
                      <w:sz w:val="18"/>
                      <w:szCs w:val="18"/>
                    </w:rPr>
                    <w:t> </w:t>
                  </w:r>
                  <w:r>
                    <w:rPr>
                      <w:rStyle w:val="cn4"/>
                      <w:sz w:val="18"/>
                      <w:szCs w:val="18"/>
                      <w:bdr w:val="none" w:sz="0" w:space="0" w:color="auto" w:frame="1"/>
                    </w:rPr>
                    <w:t>常年公开</w:t>
                  </w:r>
                  <w:r>
                    <w:rPr>
                      <w:sz w:val="18"/>
                      <w:szCs w:val="18"/>
                    </w:rPr>
                    <w:t> </w:t>
                  </w:r>
                  <w:r>
                    <w:rPr>
                      <w:sz w:val="18"/>
                      <w:szCs w:val="18"/>
                    </w:rPr>
                    <w:t xml:space="preserve">　</w:t>
                  </w:r>
                </w:p>
              </w:tc>
              <w:tc>
                <w:tcPr>
                  <w:tcW w:w="1250" w:type="pct"/>
                  <w:shd w:val="clear" w:color="auto" w:fill="FFFFFF"/>
                  <w:tcMar>
                    <w:top w:w="0" w:type="dxa"/>
                    <w:left w:w="0" w:type="dxa"/>
                    <w:bottom w:w="0" w:type="dxa"/>
                    <w:right w:w="0" w:type="dxa"/>
                  </w:tcMar>
                  <w:vAlign w:val="center"/>
                  <w:hideMark/>
                </w:tcPr>
                <w:p w:rsidR="00881DAA" w:rsidRDefault="00881DAA">
                  <w:pPr>
                    <w:rPr>
                      <w:sz w:val="18"/>
                      <w:szCs w:val="18"/>
                    </w:rPr>
                  </w:pPr>
                  <w:r>
                    <w:rPr>
                      <w:sz w:val="18"/>
                      <w:szCs w:val="18"/>
                    </w:rPr>
                    <w:t> </w:t>
                  </w:r>
                  <w:r>
                    <w:rPr>
                      <w:b/>
                      <w:bCs/>
                      <w:sz w:val="18"/>
                      <w:szCs w:val="18"/>
                    </w:rPr>
                    <w:t>公开范围：</w:t>
                  </w:r>
                  <w:r>
                    <w:rPr>
                      <w:sz w:val="18"/>
                      <w:szCs w:val="18"/>
                    </w:rPr>
                    <w:t> </w:t>
                  </w:r>
                  <w:r>
                    <w:rPr>
                      <w:rStyle w:val="cn4"/>
                      <w:sz w:val="18"/>
                      <w:szCs w:val="18"/>
                      <w:bdr w:val="none" w:sz="0" w:space="0" w:color="auto" w:frame="1"/>
                    </w:rPr>
                    <w:t>面向全社会</w:t>
                  </w:r>
                </w:p>
              </w:tc>
            </w:tr>
            <w:tr w:rsidR="00881DAA">
              <w:trPr>
                <w:trHeight w:val="375"/>
                <w:tblCellSpacing w:w="7" w:type="dxa"/>
              </w:trPr>
              <w:tc>
                <w:tcPr>
                  <w:tcW w:w="0" w:type="auto"/>
                  <w:shd w:val="clear" w:color="auto" w:fill="FFFFFF"/>
                  <w:tcMar>
                    <w:top w:w="0" w:type="dxa"/>
                    <w:left w:w="0" w:type="dxa"/>
                    <w:bottom w:w="0" w:type="dxa"/>
                    <w:right w:w="0" w:type="dxa"/>
                  </w:tcMar>
                  <w:vAlign w:val="center"/>
                  <w:hideMark/>
                </w:tcPr>
                <w:p w:rsidR="00881DAA" w:rsidRDefault="00881DAA">
                  <w:pPr>
                    <w:rPr>
                      <w:sz w:val="18"/>
                      <w:szCs w:val="18"/>
                    </w:rPr>
                  </w:pPr>
                  <w:r>
                    <w:rPr>
                      <w:sz w:val="18"/>
                      <w:szCs w:val="18"/>
                    </w:rPr>
                    <w:t> </w:t>
                  </w:r>
                  <w:r>
                    <w:rPr>
                      <w:b/>
                      <w:bCs/>
                      <w:sz w:val="18"/>
                      <w:szCs w:val="18"/>
                    </w:rPr>
                    <w:t>信息索取号：</w:t>
                  </w:r>
                  <w:r>
                    <w:rPr>
                      <w:rStyle w:val="cn4"/>
                      <w:sz w:val="18"/>
                      <w:szCs w:val="18"/>
                      <w:bdr w:val="none" w:sz="0" w:space="0" w:color="auto" w:frame="1"/>
                    </w:rPr>
                    <w:t>B36010-0203-2015-6021</w:t>
                  </w:r>
                </w:p>
              </w:tc>
              <w:tc>
                <w:tcPr>
                  <w:tcW w:w="2500" w:type="pct"/>
                  <w:gridSpan w:val="2"/>
                  <w:shd w:val="clear" w:color="auto" w:fill="FFFFFF"/>
                  <w:tcMar>
                    <w:top w:w="0" w:type="dxa"/>
                    <w:left w:w="0" w:type="dxa"/>
                    <w:bottom w:w="0" w:type="dxa"/>
                    <w:right w:w="0" w:type="dxa"/>
                  </w:tcMar>
                  <w:vAlign w:val="center"/>
                  <w:hideMark/>
                </w:tcPr>
                <w:p w:rsidR="00881DAA" w:rsidRDefault="00881DAA">
                  <w:pPr>
                    <w:rPr>
                      <w:sz w:val="18"/>
                      <w:szCs w:val="18"/>
                    </w:rPr>
                  </w:pPr>
                  <w:r>
                    <w:rPr>
                      <w:sz w:val="18"/>
                      <w:szCs w:val="18"/>
                    </w:rPr>
                    <w:t> </w:t>
                  </w:r>
                  <w:r>
                    <w:rPr>
                      <w:b/>
                      <w:bCs/>
                      <w:sz w:val="18"/>
                      <w:szCs w:val="18"/>
                    </w:rPr>
                    <w:t>责任部门：</w:t>
                  </w:r>
                </w:p>
              </w:tc>
            </w:tr>
          </w:tbl>
          <w:p w:rsidR="00881DAA" w:rsidRDefault="00881DAA">
            <w:pPr>
              <w:rPr>
                <w:rFonts w:ascii="Arial" w:hAnsi="Arial" w:cs="Arial"/>
                <w:color w:val="333333"/>
                <w:sz w:val="18"/>
                <w:szCs w:val="18"/>
              </w:rPr>
            </w:pPr>
          </w:p>
        </w:tc>
      </w:tr>
    </w:tbl>
    <w:p w:rsidR="00881DAA" w:rsidRDefault="00881DAA" w:rsidP="00881DAA">
      <w:pPr>
        <w:pStyle w:val="2"/>
        <w:shd w:val="clear" w:color="auto" w:fill="FFFFFF"/>
        <w:spacing w:before="0" w:after="240" w:line="600" w:lineRule="atLeast"/>
        <w:jc w:val="center"/>
        <w:rPr>
          <w:rFonts w:ascii="Arial" w:eastAsia="宋体" w:hAnsi="Arial" w:cs="Arial"/>
          <w:color w:val="333333"/>
          <w:sz w:val="33"/>
          <w:szCs w:val="33"/>
        </w:rPr>
      </w:pPr>
      <w:r>
        <w:rPr>
          <w:rFonts w:ascii="Arial" w:hAnsi="Arial" w:cs="Arial"/>
          <w:color w:val="333333"/>
          <w:sz w:val="33"/>
          <w:szCs w:val="33"/>
        </w:rPr>
        <w:t>石城县人民政府关于印发金融促进经济平稳健康发展若干措施的通知</w:t>
      </w:r>
    </w:p>
    <w:p w:rsidR="00881DAA" w:rsidRDefault="00881DAA" w:rsidP="00881DAA">
      <w:pPr>
        <w:shd w:val="clear" w:color="auto" w:fill="FFFFFF"/>
        <w:rPr>
          <w:rFonts w:ascii="Arial" w:hAnsi="Arial" w:cs="Arial"/>
          <w:color w:val="333333"/>
          <w:szCs w:val="21"/>
        </w:rPr>
      </w:pPr>
      <w:r>
        <w:rPr>
          <w:rFonts w:ascii="Arial" w:hAnsi="Arial" w:cs="Arial"/>
          <w:color w:val="333333"/>
          <w:szCs w:val="21"/>
        </w:rPr>
        <w:t> </w:t>
      </w:r>
    </w:p>
    <w:p w:rsidR="00881DAA" w:rsidRDefault="00881DAA" w:rsidP="00881DAA">
      <w:pPr>
        <w:pStyle w:val="a4"/>
        <w:shd w:val="clear" w:color="auto" w:fill="FFFFFF"/>
        <w:spacing w:before="0" w:beforeAutospacing="0" w:after="0" w:afterAutospacing="0" w:line="590" w:lineRule="atLeast"/>
        <w:rPr>
          <w:rFonts w:ascii="Arial" w:hAnsi="Arial" w:cs="Arial"/>
          <w:color w:val="333333"/>
          <w:sz w:val="21"/>
          <w:szCs w:val="21"/>
        </w:rPr>
      </w:pPr>
      <w:r>
        <w:rPr>
          <w:rFonts w:ascii="Arial" w:hAnsi="Arial" w:cs="Arial"/>
          <w:color w:val="333333"/>
          <w:sz w:val="21"/>
          <w:szCs w:val="21"/>
          <w:bdr w:val="none" w:sz="0" w:space="0" w:color="auto" w:frame="1"/>
        </w:rPr>
        <w:t> </w:t>
      </w:r>
    </w:p>
    <w:p w:rsidR="00881DAA" w:rsidRDefault="00881DAA" w:rsidP="00881DAA">
      <w:pPr>
        <w:pStyle w:val="a4"/>
        <w:shd w:val="clear" w:color="auto" w:fill="FFFFFF"/>
        <w:spacing w:before="0" w:beforeAutospacing="0" w:after="0" w:afterAutospacing="0" w:line="590" w:lineRule="atLeast"/>
        <w:jc w:val="center"/>
        <w:rPr>
          <w:rFonts w:ascii="Arial" w:hAnsi="Arial" w:cs="Arial"/>
          <w:color w:val="333333"/>
          <w:sz w:val="21"/>
          <w:szCs w:val="21"/>
        </w:rPr>
      </w:pPr>
      <w:r>
        <w:rPr>
          <w:rFonts w:ascii="Arial" w:hAnsi="Arial" w:cs="Arial"/>
          <w:color w:val="333333"/>
          <w:sz w:val="21"/>
          <w:szCs w:val="21"/>
        </w:rPr>
        <w:t>石府发〔</w:t>
      </w:r>
      <w:r>
        <w:rPr>
          <w:rFonts w:ascii="Arial" w:hAnsi="Arial" w:cs="Arial"/>
          <w:color w:val="333333"/>
          <w:sz w:val="21"/>
          <w:szCs w:val="21"/>
          <w:bdr w:val="none" w:sz="0" w:space="0" w:color="auto" w:frame="1"/>
        </w:rPr>
        <w:t>2015</w:t>
      </w:r>
      <w:r>
        <w:rPr>
          <w:rFonts w:ascii="Arial" w:hAnsi="Arial" w:cs="Arial"/>
          <w:color w:val="333333"/>
          <w:sz w:val="21"/>
          <w:szCs w:val="21"/>
        </w:rPr>
        <w:t>〕</w:t>
      </w:r>
      <w:r>
        <w:rPr>
          <w:rFonts w:ascii="Arial" w:hAnsi="Arial" w:cs="Arial"/>
          <w:color w:val="333333"/>
          <w:sz w:val="21"/>
          <w:szCs w:val="21"/>
          <w:bdr w:val="none" w:sz="0" w:space="0" w:color="auto" w:frame="1"/>
        </w:rPr>
        <w:t>17</w:t>
      </w:r>
      <w:r>
        <w:rPr>
          <w:rFonts w:ascii="Arial" w:hAnsi="Arial" w:cs="Arial"/>
          <w:color w:val="333333"/>
          <w:sz w:val="21"/>
          <w:szCs w:val="21"/>
        </w:rPr>
        <w:t>号</w:t>
      </w:r>
    </w:p>
    <w:p w:rsidR="00881DAA" w:rsidRDefault="00881DAA" w:rsidP="00881DAA">
      <w:pPr>
        <w:shd w:val="clear" w:color="auto" w:fill="FFFFFF"/>
        <w:rPr>
          <w:rFonts w:ascii="Arial" w:hAnsi="Arial" w:cs="Arial"/>
          <w:color w:val="333333"/>
          <w:szCs w:val="21"/>
        </w:rPr>
      </w:pPr>
      <w:r>
        <w:rPr>
          <w:rFonts w:ascii="Arial" w:hAnsi="Arial" w:cs="Arial"/>
          <w:color w:val="333333"/>
          <w:szCs w:val="21"/>
        </w:rPr>
        <w:br w:type="textWrapping" w:clear="all"/>
      </w:r>
    </w:p>
    <w:p w:rsidR="00881DAA" w:rsidRDefault="00881DAA" w:rsidP="00881DAA">
      <w:pPr>
        <w:pStyle w:val="a4"/>
        <w:shd w:val="clear" w:color="auto" w:fill="FFFFFF"/>
        <w:spacing w:before="0" w:beforeAutospacing="0" w:after="0" w:afterAutospacing="0" w:line="590" w:lineRule="atLeast"/>
        <w:jc w:val="center"/>
        <w:rPr>
          <w:rFonts w:ascii="Arial" w:hAnsi="Arial" w:cs="Arial"/>
          <w:color w:val="333333"/>
          <w:sz w:val="21"/>
          <w:szCs w:val="21"/>
        </w:rPr>
      </w:pPr>
      <w:r>
        <w:rPr>
          <w:rFonts w:ascii="Arial" w:hAnsi="Arial" w:cs="Arial"/>
          <w:color w:val="333333"/>
          <w:sz w:val="44"/>
          <w:szCs w:val="44"/>
          <w:bdr w:val="none" w:sz="0" w:space="0" w:color="auto" w:frame="1"/>
        </w:rPr>
        <w:t>石城县人民政府关于印发</w:t>
      </w:r>
    </w:p>
    <w:p w:rsidR="00881DAA" w:rsidRDefault="00881DAA" w:rsidP="00881DAA">
      <w:pPr>
        <w:pStyle w:val="a4"/>
        <w:shd w:val="clear" w:color="auto" w:fill="FFFFFF"/>
        <w:spacing w:before="0" w:beforeAutospacing="0" w:after="0" w:afterAutospacing="0" w:line="590" w:lineRule="atLeast"/>
        <w:jc w:val="center"/>
        <w:rPr>
          <w:rFonts w:ascii="Arial" w:hAnsi="Arial" w:cs="Arial"/>
          <w:color w:val="333333"/>
          <w:sz w:val="21"/>
          <w:szCs w:val="21"/>
        </w:rPr>
      </w:pPr>
      <w:r>
        <w:rPr>
          <w:rFonts w:ascii="Arial" w:hAnsi="Arial" w:cs="Arial"/>
          <w:color w:val="333333"/>
          <w:sz w:val="44"/>
          <w:szCs w:val="44"/>
          <w:bdr w:val="none" w:sz="0" w:space="0" w:color="auto" w:frame="1"/>
        </w:rPr>
        <w:t>金融促进经济平稳健康发展若干措施的通知</w:t>
      </w:r>
    </w:p>
    <w:p w:rsidR="00881DAA" w:rsidRDefault="00881DAA" w:rsidP="00881DAA">
      <w:pPr>
        <w:pStyle w:val="a4"/>
        <w:shd w:val="clear" w:color="auto" w:fill="FFFFFF"/>
        <w:spacing w:before="0" w:beforeAutospacing="0" w:after="240" w:afterAutospacing="0" w:line="590" w:lineRule="atLeast"/>
        <w:rPr>
          <w:rFonts w:ascii="Arial" w:hAnsi="Arial" w:cs="Arial"/>
          <w:color w:val="333333"/>
          <w:sz w:val="21"/>
          <w:szCs w:val="21"/>
        </w:rPr>
      </w:pPr>
      <w:r>
        <w:rPr>
          <w:rFonts w:ascii="Arial" w:hAnsi="Arial" w:cs="Arial"/>
          <w:color w:val="333333"/>
          <w:sz w:val="21"/>
          <w:szCs w:val="21"/>
        </w:rPr>
        <w:t>各乡（镇）人民政府，县政府各部门，县直、驻县各单位：</w:t>
      </w:r>
    </w:p>
    <w:p w:rsidR="00881DAA" w:rsidRDefault="00881DAA" w:rsidP="00881DAA">
      <w:pPr>
        <w:pStyle w:val="a4"/>
        <w:shd w:val="clear" w:color="auto" w:fill="FFFFFF"/>
        <w:spacing w:before="0" w:beforeAutospacing="0" w:after="240" w:afterAutospacing="0" w:line="590" w:lineRule="atLeast"/>
        <w:ind w:firstLine="632"/>
        <w:rPr>
          <w:rFonts w:ascii="Arial" w:hAnsi="Arial" w:cs="Arial"/>
          <w:color w:val="333333"/>
          <w:sz w:val="21"/>
          <w:szCs w:val="21"/>
        </w:rPr>
      </w:pPr>
      <w:r>
        <w:rPr>
          <w:rFonts w:ascii="Arial" w:hAnsi="Arial" w:cs="Arial"/>
          <w:color w:val="333333"/>
          <w:sz w:val="21"/>
          <w:szCs w:val="21"/>
        </w:rPr>
        <w:t>现将《金融促进经济平稳健康发展若干措施》印发给你们，请认真贯彻执行。</w:t>
      </w:r>
    </w:p>
    <w:p w:rsidR="00881DAA" w:rsidRDefault="00881DAA" w:rsidP="00881DAA">
      <w:pPr>
        <w:shd w:val="clear" w:color="auto" w:fill="FFFFFF"/>
        <w:rPr>
          <w:rFonts w:ascii="Arial" w:hAnsi="Arial" w:cs="Arial"/>
          <w:color w:val="333333"/>
          <w:szCs w:val="21"/>
        </w:rPr>
      </w:pPr>
      <w:r>
        <w:rPr>
          <w:rFonts w:ascii="Arial" w:hAnsi="Arial" w:cs="Arial"/>
          <w:color w:val="333333"/>
          <w:szCs w:val="21"/>
        </w:rPr>
        <w:br w:type="textWrapping" w:clear="all"/>
      </w:r>
    </w:p>
    <w:p w:rsidR="00881DAA" w:rsidRDefault="00881DAA" w:rsidP="00881DAA">
      <w:pPr>
        <w:pStyle w:val="a4"/>
        <w:shd w:val="clear" w:color="auto" w:fill="FFFFFF"/>
        <w:spacing w:before="0" w:beforeAutospacing="0" w:after="240" w:afterAutospacing="0" w:line="620" w:lineRule="atLeast"/>
        <w:ind w:firstLine="4510"/>
        <w:rPr>
          <w:rFonts w:ascii="Arial" w:hAnsi="Arial" w:cs="Arial"/>
          <w:color w:val="333333"/>
          <w:sz w:val="21"/>
          <w:szCs w:val="21"/>
        </w:rPr>
      </w:pPr>
      <w:r>
        <w:rPr>
          <w:rFonts w:ascii="Arial" w:hAnsi="Arial" w:cs="Arial"/>
          <w:color w:val="333333"/>
          <w:sz w:val="21"/>
          <w:szCs w:val="21"/>
        </w:rPr>
        <w:t>石城县人民政府</w:t>
      </w:r>
    </w:p>
    <w:p w:rsidR="00881DAA" w:rsidRDefault="00881DAA" w:rsidP="00881DAA">
      <w:pPr>
        <w:pStyle w:val="a4"/>
        <w:shd w:val="clear" w:color="auto" w:fill="FFFFFF"/>
        <w:spacing w:before="0" w:beforeAutospacing="0" w:after="0" w:afterAutospacing="0" w:line="620" w:lineRule="atLeast"/>
        <w:ind w:firstLine="4483"/>
        <w:rPr>
          <w:rFonts w:ascii="Arial" w:hAnsi="Arial" w:cs="Arial"/>
          <w:color w:val="333333"/>
          <w:sz w:val="21"/>
          <w:szCs w:val="21"/>
        </w:rPr>
      </w:pPr>
      <w:r>
        <w:rPr>
          <w:rFonts w:ascii="Arial" w:hAnsi="Arial" w:cs="Arial"/>
          <w:color w:val="333333"/>
          <w:spacing w:val="20"/>
          <w:sz w:val="21"/>
          <w:szCs w:val="21"/>
          <w:bdr w:val="none" w:sz="0" w:space="0" w:color="auto" w:frame="1"/>
        </w:rPr>
        <w:t>2015</w:t>
      </w:r>
      <w:r>
        <w:rPr>
          <w:rFonts w:ascii="Arial" w:hAnsi="Arial" w:cs="Arial"/>
          <w:color w:val="333333"/>
          <w:spacing w:val="20"/>
          <w:sz w:val="21"/>
          <w:szCs w:val="21"/>
          <w:bdr w:val="none" w:sz="0" w:space="0" w:color="auto" w:frame="1"/>
        </w:rPr>
        <w:t>年</w:t>
      </w:r>
      <w:r>
        <w:rPr>
          <w:rFonts w:ascii="Arial" w:hAnsi="Arial" w:cs="Arial"/>
          <w:color w:val="333333"/>
          <w:spacing w:val="20"/>
          <w:sz w:val="21"/>
          <w:szCs w:val="21"/>
          <w:bdr w:val="none" w:sz="0" w:space="0" w:color="auto" w:frame="1"/>
        </w:rPr>
        <w:t>9</w:t>
      </w:r>
      <w:r>
        <w:rPr>
          <w:rFonts w:ascii="Arial" w:hAnsi="Arial" w:cs="Arial"/>
          <w:color w:val="333333"/>
          <w:spacing w:val="20"/>
          <w:sz w:val="21"/>
          <w:szCs w:val="21"/>
          <w:bdr w:val="none" w:sz="0" w:space="0" w:color="auto" w:frame="1"/>
        </w:rPr>
        <w:t>月</w:t>
      </w:r>
      <w:r>
        <w:rPr>
          <w:rFonts w:ascii="Arial" w:hAnsi="Arial" w:cs="Arial"/>
          <w:color w:val="333333"/>
          <w:spacing w:val="20"/>
          <w:sz w:val="21"/>
          <w:szCs w:val="21"/>
          <w:bdr w:val="none" w:sz="0" w:space="0" w:color="auto" w:frame="1"/>
        </w:rPr>
        <w:t>7</w:t>
      </w:r>
      <w:r>
        <w:rPr>
          <w:rFonts w:ascii="Arial" w:hAnsi="Arial" w:cs="Arial"/>
          <w:color w:val="333333"/>
          <w:spacing w:val="20"/>
          <w:sz w:val="21"/>
          <w:szCs w:val="21"/>
          <w:bdr w:val="none" w:sz="0" w:space="0" w:color="auto" w:frame="1"/>
        </w:rPr>
        <w:t>日</w:t>
      </w:r>
    </w:p>
    <w:p w:rsidR="00881DAA" w:rsidRDefault="00881DAA" w:rsidP="00881DAA">
      <w:pPr>
        <w:pStyle w:val="a4"/>
        <w:shd w:val="clear" w:color="auto" w:fill="FFFFFF"/>
        <w:spacing w:before="0" w:beforeAutospacing="0" w:after="0" w:afterAutospacing="0" w:line="590" w:lineRule="atLeast"/>
        <w:jc w:val="center"/>
        <w:rPr>
          <w:rFonts w:ascii="Arial" w:hAnsi="Arial" w:cs="Arial"/>
          <w:color w:val="333333"/>
          <w:sz w:val="21"/>
          <w:szCs w:val="21"/>
        </w:rPr>
      </w:pPr>
      <w:r>
        <w:rPr>
          <w:rFonts w:ascii="Arial" w:hAnsi="Arial" w:cs="Arial"/>
          <w:color w:val="333333"/>
          <w:sz w:val="44"/>
          <w:szCs w:val="44"/>
          <w:bdr w:val="none" w:sz="0" w:space="0" w:color="auto" w:frame="1"/>
        </w:rPr>
        <w:t>金融促进经济平稳健康发展若干措施</w:t>
      </w:r>
    </w:p>
    <w:p w:rsidR="00881DAA" w:rsidRDefault="00881DAA" w:rsidP="00881DAA">
      <w:pPr>
        <w:pStyle w:val="a4"/>
        <w:shd w:val="clear" w:color="auto" w:fill="FFFFFF"/>
        <w:spacing w:before="0" w:beforeAutospacing="0" w:after="240" w:afterAutospacing="0" w:line="520" w:lineRule="atLeast"/>
        <w:ind w:firstLine="632"/>
        <w:rPr>
          <w:rFonts w:ascii="Arial" w:hAnsi="Arial" w:cs="Arial"/>
          <w:color w:val="333333"/>
          <w:sz w:val="21"/>
          <w:szCs w:val="21"/>
        </w:rPr>
      </w:pPr>
      <w:r>
        <w:rPr>
          <w:rFonts w:ascii="Arial" w:hAnsi="Arial" w:cs="Arial"/>
          <w:color w:val="333333"/>
          <w:sz w:val="21"/>
          <w:szCs w:val="21"/>
        </w:rPr>
        <w:t>为全面贯彻中央、省市</w:t>
      </w:r>
      <w:proofErr w:type="gramStart"/>
      <w:r>
        <w:rPr>
          <w:rFonts w:ascii="Arial" w:hAnsi="Arial" w:cs="Arial"/>
          <w:color w:val="333333"/>
          <w:sz w:val="21"/>
          <w:szCs w:val="21"/>
        </w:rPr>
        <w:t>稳增长</w:t>
      </w:r>
      <w:proofErr w:type="gramEnd"/>
      <w:r>
        <w:rPr>
          <w:rFonts w:ascii="Arial" w:hAnsi="Arial" w:cs="Arial"/>
          <w:color w:val="333333"/>
          <w:sz w:val="21"/>
          <w:szCs w:val="21"/>
        </w:rPr>
        <w:t>系列政策，促进县域经济平稳健康发展，结合县情实际，特制定如下若干措施。</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一、加强信贷支持。</w:t>
      </w:r>
      <w:r>
        <w:rPr>
          <w:rFonts w:ascii="Arial" w:hAnsi="Arial" w:cs="Arial"/>
          <w:color w:val="333333"/>
          <w:sz w:val="21"/>
          <w:szCs w:val="21"/>
        </w:rPr>
        <w:t>扩大信贷规模，争取全年新增贷款</w:t>
      </w:r>
      <w:r>
        <w:rPr>
          <w:rFonts w:ascii="Arial" w:hAnsi="Arial" w:cs="Arial"/>
          <w:color w:val="333333"/>
          <w:sz w:val="21"/>
          <w:szCs w:val="21"/>
          <w:bdr w:val="none" w:sz="0" w:space="0" w:color="auto" w:frame="1"/>
        </w:rPr>
        <w:t>10</w:t>
      </w:r>
      <w:r>
        <w:rPr>
          <w:rFonts w:ascii="Arial" w:hAnsi="Arial" w:cs="Arial"/>
          <w:color w:val="333333"/>
          <w:sz w:val="21"/>
          <w:szCs w:val="21"/>
        </w:rPr>
        <w:t>亿元以上，</w:t>
      </w:r>
      <w:r>
        <w:rPr>
          <w:rFonts w:ascii="Arial" w:hAnsi="Arial" w:cs="Arial"/>
          <w:color w:val="333333"/>
          <w:sz w:val="21"/>
          <w:szCs w:val="21"/>
        </w:rPr>
        <w:t>“</w:t>
      </w:r>
      <w:r>
        <w:rPr>
          <w:rFonts w:ascii="Arial" w:hAnsi="Arial" w:cs="Arial"/>
          <w:color w:val="333333"/>
          <w:sz w:val="21"/>
          <w:szCs w:val="21"/>
        </w:rPr>
        <w:t>财园信贷通</w:t>
      </w:r>
      <w:r>
        <w:rPr>
          <w:rFonts w:ascii="Arial" w:hAnsi="Arial" w:cs="Arial"/>
          <w:color w:val="333333"/>
          <w:sz w:val="21"/>
          <w:szCs w:val="21"/>
        </w:rPr>
        <w:t>”</w:t>
      </w:r>
      <w:r>
        <w:rPr>
          <w:rFonts w:ascii="Arial" w:hAnsi="Arial" w:cs="Arial"/>
          <w:color w:val="333333"/>
          <w:sz w:val="21"/>
          <w:szCs w:val="21"/>
        </w:rPr>
        <w:t>发放贷款新增</w:t>
      </w:r>
      <w:r>
        <w:rPr>
          <w:rFonts w:ascii="Arial" w:hAnsi="Arial" w:cs="Arial"/>
          <w:color w:val="333333"/>
          <w:sz w:val="21"/>
          <w:szCs w:val="21"/>
          <w:bdr w:val="none" w:sz="0" w:space="0" w:color="auto" w:frame="1"/>
        </w:rPr>
        <w:t>30%</w:t>
      </w:r>
      <w:r>
        <w:rPr>
          <w:rFonts w:ascii="Arial" w:hAnsi="Arial" w:cs="Arial"/>
          <w:color w:val="333333"/>
          <w:sz w:val="21"/>
          <w:szCs w:val="21"/>
        </w:rPr>
        <w:t>以上，</w:t>
      </w:r>
      <w:r>
        <w:rPr>
          <w:rFonts w:ascii="Arial" w:hAnsi="Arial" w:cs="Arial"/>
          <w:color w:val="333333"/>
          <w:sz w:val="21"/>
          <w:szCs w:val="21"/>
        </w:rPr>
        <w:t>“</w:t>
      </w:r>
      <w:r>
        <w:rPr>
          <w:rFonts w:ascii="Arial" w:hAnsi="Arial" w:cs="Arial"/>
          <w:color w:val="333333"/>
          <w:sz w:val="21"/>
          <w:szCs w:val="21"/>
        </w:rPr>
        <w:t>小微信贷通</w:t>
      </w:r>
      <w:r>
        <w:rPr>
          <w:rFonts w:ascii="Arial" w:hAnsi="Arial" w:cs="Arial"/>
          <w:color w:val="333333"/>
          <w:sz w:val="21"/>
          <w:szCs w:val="21"/>
        </w:rPr>
        <w:t>”</w:t>
      </w:r>
      <w:r>
        <w:rPr>
          <w:rFonts w:ascii="Arial" w:hAnsi="Arial" w:cs="Arial"/>
          <w:color w:val="333333"/>
          <w:sz w:val="21"/>
          <w:szCs w:val="21"/>
        </w:rPr>
        <w:t>发放贷款</w:t>
      </w:r>
      <w:r>
        <w:rPr>
          <w:rFonts w:ascii="Arial" w:hAnsi="Arial" w:cs="Arial"/>
          <w:color w:val="333333"/>
          <w:sz w:val="21"/>
          <w:szCs w:val="21"/>
          <w:bdr w:val="none" w:sz="0" w:space="0" w:color="auto" w:frame="1"/>
        </w:rPr>
        <w:t>8000</w:t>
      </w:r>
      <w:r>
        <w:rPr>
          <w:rFonts w:ascii="Arial" w:hAnsi="Arial" w:cs="Arial"/>
          <w:color w:val="333333"/>
          <w:sz w:val="21"/>
          <w:szCs w:val="21"/>
        </w:rPr>
        <w:t>万元，</w:t>
      </w:r>
      <w:r>
        <w:rPr>
          <w:rFonts w:ascii="Arial" w:hAnsi="Arial" w:cs="Arial"/>
          <w:color w:val="333333"/>
          <w:sz w:val="21"/>
          <w:szCs w:val="21"/>
        </w:rPr>
        <w:t>“</w:t>
      </w:r>
      <w:r>
        <w:rPr>
          <w:rFonts w:ascii="Arial" w:hAnsi="Arial" w:cs="Arial"/>
          <w:color w:val="333333"/>
          <w:sz w:val="21"/>
          <w:szCs w:val="21"/>
        </w:rPr>
        <w:t>财政惠农信贷通</w:t>
      </w:r>
      <w:r>
        <w:rPr>
          <w:rFonts w:ascii="Arial" w:hAnsi="Arial" w:cs="Arial"/>
          <w:color w:val="333333"/>
          <w:sz w:val="21"/>
          <w:szCs w:val="21"/>
        </w:rPr>
        <w:t>”</w:t>
      </w:r>
      <w:r>
        <w:rPr>
          <w:rFonts w:ascii="Arial" w:hAnsi="Arial" w:cs="Arial"/>
          <w:color w:val="333333"/>
          <w:sz w:val="21"/>
          <w:szCs w:val="21"/>
        </w:rPr>
        <w:t>发放贷款</w:t>
      </w:r>
      <w:r>
        <w:rPr>
          <w:rFonts w:ascii="Arial" w:hAnsi="Arial" w:cs="Arial"/>
          <w:color w:val="333333"/>
          <w:sz w:val="21"/>
          <w:szCs w:val="21"/>
          <w:bdr w:val="none" w:sz="0" w:space="0" w:color="auto" w:frame="1"/>
        </w:rPr>
        <w:lastRenderedPageBreak/>
        <w:t>4000</w:t>
      </w:r>
      <w:r>
        <w:rPr>
          <w:rFonts w:ascii="Arial" w:hAnsi="Arial" w:cs="Arial"/>
          <w:color w:val="333333"/>
          <w:sz w:val="21"/>
          <w:szCs w:val="21"/>
        </w:rPr>
        <w:t>万元，</w:t>
      </w:r>
      <w:r>
        <w:rPr>
          <w:rFonts w:ascii="Arial" w:hAnsi="Arial" w:cs="Arial"/>
          <w:color w:val="333333"/>
          <w:sz w:val="21"/>
          <w:szCs w:val="21"/>
        </w:rPr>
        <w:t>“</w:t>
      </w:r>
      <w:r>
        <w:rPr>
          <w:rFonts w:ascii="Arial" w:hAnsi="Arial" w:cs="Arial"/>
          <w:color w:val="333333"/>
          <w:sz w:val="21"/>
          <w:szCs w:val="21"/>
        </w:rPr>
        <w:t>金福通</w:t>
      </w:r>
      <w:r>
        <w:rPr>
          <w:rFonts w:ascii="Arial" w:hAnsi="Arial" w:cs="Arial"/>
          <w:color w:val="333333"/>
          <w:sz w:val="21"/>
          <w:szCs w:val="21"/>
        </w:rPr>
        <w:t>”</w:t>
      </w:r>
      <w:r>
        <w:rPr>
          <w:rFonts w:ascii="Arial" w:hAnsi="Arial" w:cs="Arial"/>
          <w:color w:val="333333"/>
          <w:sz w:val="21"/>
          <w:szCs w:val="21"/>
        </w:rPr>
        <w:t>发放贷款</w:t>
      </w:r>
      <w:r>
        <w:rPr>
          <w:rFonts w:ascii="Arial" w:hAnsi="Arial" w:cs="Arial"/>
          <w:color w:val="333333"/>
          <w:sz w:val="21"/>
          <w:szCs w:val="21"/>
          <w:bdr w:val="none" w:sz="0" w:space="0" w:color="auto" w:frame="1"/>
        </w:rPr>
        <w:t>3200</w:t>
      </w:r>
      <w:r>
        <w:rPr>
          <w:rFonts w:ascii="Arial" w:hAnsi="Arial" w:cs="Arial"/>
          <w:color w:val="333333"/>
          <w:sz w:val="21"/>
          <w:szCs w:val="21"/>
        </w:rPr>
        <w:t>万元；优化信贷结构，力争小微企业、房地产、三</w:t>
      </w:r>
      <w:proofErr w:type="gramStart"/>
      <w:r>
        <w:rPr>
          <w:rFonts w:ascii="Arial" w:hAnsi="Arial" w:cs="Arial"/>
          <w:color w:val="333333"/>
          <w:sz w:val="21"/>
          <w:szCs w:val="21"/>
        </w:rPr>
        <w:t>农贷款</w:t>
      </w:r>
      <w:proofErr w:type="gramEnd"/>
      <w:r>
        <w:rPr>
          <w:rFonts w:ascii="Arial" w:hAnsi="Arial" w:cs="Arial"/>
          <w:color w:val="333333"/>
          <w:sz w:val="21"/>
          <w:szCs w:val="21"/>
        </w:rPr>
        <w:t>增量高于去年，加大对旅游、电子商务、新能源的支持力度，加大创业贷款支持力度，积极扶持</w:t>
      </w:r>
      <w:r>
        <w:rPr>
          <w:rFonts w:ascii="Arial" w:hAnsi="Arial" w:cs="Arial"/>
          <w:color w:val="333333"/>
          <w:sz w:val="21"/>
          <w:szCs w:val="21"/>
        </w:rPr>
        <w:t>“</w:t>
      </w:r>
      <w:r>
        <w:rPr>
          <w:rFonts w:ascii="Arial" w:hAnsi="Arial" w:cs="Arial"/>
          <w:color w:val="333333"/>
          <w:sz w:val="21"/>
          <w:szCs w:val="21"/>
        </w:rPr>
        <w:t>大众创业、万众创新</w:t>
      </w:r>
      <w:r>
        <w:rPr>
          <w:rFonts w:ascii="Arial" w:hAnsi="Arial" w:cs="Arial"/>
          <w:color w:val="333333"/>
          <w:sz w:val="21"/>
          <w:szCs w:val="21"/>
        </w:rPr>
        <w:t xml:space="preserve">” </w:t>
      </w:r>
      <w:r>
        <w:rPr>
          <w:rFonts w:ascii="Arial" w:hAnsi="Arial" w:cs="Arial"/>
          <w:color w:val="333333"/>
          <w:sz w:val="21"/>
          <w:szCs w:val="21"/>
        </w:rPr>
        <w:t>；创新金融产品，鼓励银行业金融机构综合运用票据、信托、委托贷款、银团贷款、融资租赁、证券资产管理、财富管理等产品，扩大业务规模，鼓励银行业金融机构探索开展商标、专利、应收账款等质押贷款；认真落实</w:t>
      </w:r>
      <w:proofErr w:type="gramStart"/>
      <w:r>
        <w:rPr>
          <w:rFonts w:ascii="Arial" w:hAnsi="Arial" w:cs="Arial"/>
          <w:color w:val="333333"/>
          <w:sz w:val="21"/>
          <w:szCs w:val="21"/>
        </w:rPr>
        <w:t>银行抽贷定期</w:t>
      </w:r>
      <w:proofErr w:type="gramEnd"/>
      <w:r>
        <w:rPr>
          <w:rFonts w:ascii="Arial" w:hAnsi="Arial" w:cs="Arial"/>
          <w:color w:val="333333"/>
          <w:sz w:val="21"/>
          <w:szCs w:val="21"/>
        </w:rPr>
        <w:t>报告制度、问题贷款处置协调制度；进一步落实和完善金融支持经济发展奖励政策，县财政对金融机构的奖励标准在已出台考核方案的基础上提高</w:t>
      </w:r>
      <w:r>
        <w:rPr>
          <w:rFonts w:ascii="Arial" w:hAnsi="Arial" w:cs="Arial"/>
          <w:color w:val="333333"/>
          <w:sz w:val="21"/>
          <w:szCs w:val="21"/>
          <w:bdr w:val="none" w:sz="0" w:space="0" w:color="auto" w:frame="1"/>
        </w:rPr>
        <w:t>30%</w:t>
      </w:r>
      <w:r>
        <w:rPr>
          <w:rFonts w:ascii="Arial" w:hAnsi="Arial" w:cs="Arial"/>
          <w:color w:val="333333"/>
          <w:sz w:val="21"/>
          <w:szCs w:val="21"/>
        </w:rPr>
        <w:t>。（责任单位：县金融工作局、人民银行、财政局、银监办、各银行机构）</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二、促进金融服务体系建设。</w:t>
      </w:r>
      <w:r>
        <w:rPr>
          <w:rFonts w:ascii="Arial" w:hAnsi="Arial" w:cs="Arial"/>
          <w:color w:val="333333"/>
          <w:sz w:val="21"/>
          <w:szCs w:val="21"/>
        </w:rPr>
        <w:t>鼓励银行开设小微支行和社区银行，支持银行网点进园区、进景区、进社区，对新设在工业园区、主要景区的营业网点、</w:t>
      </w:r>
      <w:r>
        <w:rPr>
          <w:rFonts w:ascii="Arial" w:hAnsi="Arial" w:cs="Arial"/>
          <w:color w:val="333333"/>
          <w:sz w:val="21"/>
          <w:szCs w:val="21"/>
          <w:bdr w:val="none" w:sz="0" w:space="0" w:color="auto" w:frame="1"/>
        </w:rPr>
        <w:t>ATM</w:t>
      </w:r>
      <w:r>
        <w:rPr>
          <w:rFonts w:ascii="Arial" w:hAnsi="Arial" w:cs="Arial"/>
          <w:color w:val="333333"/>
          <w:sz w:val="21"/>
          <w:szCs w:val="21"/>
        </w:rPr>
        <w:t>自助网点，县财政每个分别补助</w:t>
      </w:r>
      <w:r>
        <w:rPr>
          <w:rFonts w:ascii="Arial" w:hAnsi="Arial" w:cs="Arial"/>
          <w:color w:val="333333"/>
          <w:sz w:val="21"/>
          <w:szCs w:val="21"/>
          <w:bdr w:val="none" w:sz="0" w:space="0" w:color="auto" w:frame="1"/>
        </w:rPr>
        <w:t>10</w:t>
      </w:r>
      <w:r>
        <w:rPr>
          <w:rFonts w:ascii="Arial" w:hAnsi="Arial" w:cs="Arial"/>
          <w:color w:val="333333"/>
          <w:sz w:val="21"/>
          <w:szCs w:val="21"/>
        </w:rPr>
        <w:t>万元、</w:t>
      </w:r>
      <w:r>
        <w:rPr>
          <w:rFonts w:ascii="Arial" w:hAnsi="Arial" w:cs="Arial"/>
          <w:color w:val="333333"/>
          <w:sz w:val="21"/>
          <w:szCs w:val="21"/>
          <w:bdr w:val="none" w:sz="0" w:space="0" w:color="auto" w:frame="1"/>
        </w:rPr>
        <w:t>5</w:t>
      </w:r>
      <w:r>
        <w:rPr>
          <w:rFonts w:ascii="Arial" w:hAnsi="Arial" w:cs="Arial"/>
          <w:color w:val="333333"/>
          <w:sz w:val="21"/>
          <w:szCs w:val="21"/>
        </w:rPr>
        <w:t>万元；对新设助农取款点，县财政每个补助</w:t>
      </w:r>
      <w:r>
        <w:rPr>
          <w:rFonts w:ascii="Arial" w:hAnsi="Arial" w:cs="Arial"/>
          <w:color w:val="333333"/>
          <w:sz w:val="21"/>
          <w:szCs w:val="21"/>
          <w:bdr w:val="none" w:sz="0" w:space="0" w:color="auto" w:frame="1"/>
        </w:rPr>
        <w:t>1000</w:t>
      </w:r>
      <w:r>
        <w:rPr>
          <w:rFonts w:ascii="Arial" w:hAnsi="Arial" w:cs="Arial"/>
          <w:color w:val="333333"/>
          <w:sz w:val="21"/>
          <w:szCs w:val="21"/>
        </w:rPr>
        <w:t>元。（责任单位：县金融工作局、人民银行、财政局、银监办、各银行机构）</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三、建立政府倒</w:t>
      </w:r>
      <w:proofErr w:type="gramStart"/>
      <w:r>
        <w:rPr>
          <w:rFonts w:ascii="Arial" w:hAnsi="Arial" w:cs="Arial"/>
          <w:color w:val="333333"/>
          <w:sz w:val="21"/>
          <w:szCs w:val="21"/>
          <w:bdr w:val="none" w:sz="0" w:space="0" w:color="auto" w:frame="1"/>
        </w:rPr>
        <w:t>贷机</w:t>
      </w:r>
      <w:proofErr w:type="gramEnd"/>
      <w:r>
        <w:rPr>
          <w:rFonts w:ascii="Arial" w:hAnsi="Arial" w:cs="Arial"/>
          <w:color w:val="333333"/>
          <w:sz w:val="21"/>
          <w:szCs w:val="21"/>
          <w:bdr w:val="none" w:sz="0" w:space="0" w:color="auto" w:frame="1"/>
        </w:rPr>
        <w:t>制。</w:t>
      </w:r>
      <w:r>
        <w:rPr>
          <w:rFonts w:ascii="Arial" w:hAnsi="Arial" w:cs="Arial"/>
          <w:color w:val="333333"/>
          <w:sz w:val="21"/>
          <w:szCs w:val="21"/>
        </w:rPr>
        <w:t>认真实施《石城县中小企业转贷资金管理办法》，确保中小企业转贷资金</w:t>
      </w:r>
      <w:r>
        <w:rPr>
          <w:rFonts w:ascii="Arial" w:hAnsi="Arial" w:cs="Arial"/>
          <w:color w:val="333333"/>
          <w:sz w:val="21"/>
          <w:szCs w:val="21"/>
          <w:bdr w:val="none" w:sz="0" w:space="0" w:color="auto" w:frame="1"/>
        </w:rPr>
        <w:t>3000</w:t>
      </w:r>
      <w:r>
        <w:rPr>
          <w:rFonts w:ascii="Arial" w:hAnsi="Arial" w:cs="Arial"/>
          <w:color w:val="333333"/>
          <w:sz w:val="21"/>
          <w:szCs w:val="21"/>
        </w:rPr>
        <w:t>万元以上，切实缓解中小企业流动资金周转困难问题。（责任单位：县财政局、金融工作局、工信局、民企局、工业园区管委会、城建公司、旅发公司、银监办、各银行机构）</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四、发展融资担保机构。</w:t>
      </w:r>
      <w:r>
        <w:rPr>
          <w:rFonts w:ascii="Arial" w:hAnsi="Arial" w:cs="Arial"/>
          <w:color w:val="333333"/>
          <w:sz w:val="21"/>
          <w:szCs w:val="21"/>
        </w:rPr>
        <w:t>根据赣府发〔</w:t>
      </w:r>
      <w:r>
        <w:rPr>
          <w:rFonts w:ascii="Arial" w:hAnsi="Arial" w:cs="Arial"/>
          <w:color w:val="333333"/>
          <w:sz w:val="21"/>
          <w:szCs w:val="21"/>
          <w:bdr w:val="none" w:sz="0" w:space="0" w:color="auto" w:frame="1"/>
        </w:rPr>
        <w:t>2015</w:t>
      </w:r>
      <w:r>
        <w:rPr>
          <w:rFonts w:ascii="Arial" w:hAnsi="Arial" w:cs="Arial"/>
          <w:color w:val="333333"/>
          <w:sz w:val="21"/>
          <w:szCs w:val="21"/>
        </w:rPr>
        <w:t>〕</w:t>
      </w:r>
      <w:r>
        <w:rPr>
          <w:rFonts w:ascii="Arial" w:hAnsi="Arial" w:cs="Arial"/>
          <w:color w:val="333333"/>
          <w:sz w:val="21"/>
          <w:szCs w:val="21"/>
          <w:bdr w:val="none" w:sz="0" w:space="0" w:color="auto" w:frame="1"/>
        </w:rPr>
        <w:t>24</w:t>
      </w:r>
      <w:r>
        <w:rPr>
          <w:rFonts w:ascii="Arial" w:hAnsi="Arial" w:cs="Arial"/>
          <w:color w:val="333333"/>
          <w:sz w:val="21"/>
          <w:szCs w:val="21"/>
        </w:rPr>
        <w:t>号、赣市府发〔</w:t>
      </w:r>
      <w:r>
        <w:rPr>
          <w:rFonts w:ascii="Arial" w:hAnsi="Arial" w:cs="Arial"/>
          <w:color w:val="333333"/>
          <w:sz w:val="21"/>
          <w:szCs w:val="21"/>
          <w:bdr w:val="none" w:sz="0" w:space="0" w:color="auto" w:frame="1"/>
        </w:rPr>
        <w:t>2015</w:t>
      </w:r>
      <w:r>
        <w:rPr>
          <w:rFonts w:ascii="Arial" w:hAnsi="Arial" w:cs="Arial"/>
          <w:color w:val="333333"/>
          <w:sz w:val="21"/>
          <w:szCs w:val="21"/>
        </w:rPr>
        <w:t>〕</w:t>
      </w:r>
      <w:r>
        <w:rPr>
          <w:rFonts w:ascii="Arial" w:hAnsi="Arial" w:cs="Arial"/>
          <w:color w:val="333333"/>
          <w:sz w:val="21"/>
          <w:szCs w:val="21"/>
          <w:bdr w:val="none" w:sz="0" w:space="0" w:color="auto" w:frame="1"/>
        </w:rPr>
        <w:t>22</w:t>
      </w:r>
      <w:r>
        <w:rPr>
          <w:rFonts w:ascii="Arial" w:hAnsi="Arial" w:cs="Arial"/>
          <w:color w:val="333333"/>
          <w:sz w:val="21"/>
          <w:szCs w:val="21"/>
        </w:rPr>
        <w:t>号文件精神，设立一家资本规模</w:t>
      </w:r>
      <w:r>
        <w:rPr>
          <w:rFonts w:ascii="Arial" w:hAnsi="Arial" w:cs="Arial"/>
          <w:color w:val="333333"/>
          <w:sz w:val="21"/>
          <w:szCs w:val="21"/>
          <w:bdr w:val="none" w:sz="0" w:space="0" w:color="auto" w:frame="1"/>
        </w:rPr>
        <w:t>5000</w:t>
      </w:r>
      <w:r>
        <w:rPr>
          <w:rFonts w:ascii="Arial" w:hAnsi="Arial" w:cs="Arial"/>
          <w:color w:val="333333"/>
          <w:sz w:val="21"/>
          <w:szCs w:val="21"/>
        </w:rPr>
        <w:t>万元以上的政府出资融资性担保机构。（责任单位：县财政局、金融工作局）</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五、支持企业上市融资。</w:t>
      </w:r>
      <w:r>
        <w:rPr>
          <w:rFonts w:ascii="Arial" w:hAnsi="Arial" w:cs="Arial"/>
          <w:color w:val="333333"/>
          <w:sz w:val="21"/>
          <w:szCs w:val="21"/>
        </w:rPr>
        <w:t>积极扶持培育重点企业，推进企业上市融资；对在</w:t>
      </w:r>
      <w:r>
        <w:rPr>
          <w:rFonts w:ascii="Arial" w:hAnsi="Arial" w:cs="Arial"/>
          <w:color w:val="333333"/>
          <w:sz w:val="21"/>
          <w:szCs w:val="21"/>
        </w:rPr>
        <w:t>“</w:t>
      </w:r>
      <w:r>
        <w:rPr>
          <w:rFonts w:ascii="Arial" w:hAnsi="Arial" w:cs="Arial"/>
          <w:color w:val="333333"/>
          <w:sz w:val="21"/>
          <w:szCs w:val="21"/>
        </w:rPr>
        <w:t>新三板</w:t>
      </w:r>
      <w:r>
        <w:rPr>
          <w:rFonts w:ascii="Arial" w:hAnsi="Arial" w:cs="Arial"/>
          <w:color w:val="333333"/>
          <w:sz w:val="21"/>
          <w:szCs w:val="21"/>
        </w:rPr>
        <w:t>”</w:t>
      </w:r>
      <w:r>
        <w:rPr>
          <w:rFonts w:ascii="Arial" w:hAnsi="Arial" w:cs="Arial"/>
          <w:color w:val="333333"/>
          <w:sz w:val="21"/>
          <w:szCs w:val="21"/>
        </w:rPr>
        <w:t>成功挂牌的县内企业，县财政每户</w:t>
      </w:r>
      <w:proofErr w:type="gramStart"/>
      <w:r>
        <w:rPr>
          <w:rFonts w:ascii="Arial" w:hAnsi="Arial" w:cs="Arial"/>
          <w:color w:val="333333"/>
          <w:sz w:val="21"/>
          <w:szCs w:val="21"/>
        </w:rPr>
        <w:t>一次性奖补</w:t>
      </w:r>
      <w:r>
        <w:rPr>
          <w:rFonts w:ascii="Arial" w:hAnsi="Arial" w:cs="Arial"/>
          <w:color w:val="333333"/>
          <w:sz w:val="21"/>
          <w:szCs w:val="21"/>
          <w:bdr w:val="none" w:sz="0" w:space="0" w:color="auto" w:frame="1"/>
        </w:rPr>
        <w:t>200</w:t>
      </w:r>
      <w:r>
        <w:rPr>
          <w:rFonts w:ascii="Arial" w:hAnsi="Arial" w:cs="Arial"/>
          <w:color w:val="333333"/>
          <w:sz w:val="21"/>
          <w:szCs w:val="21"/>
        </w:rPr>
        <w:t>万元</w:t>
      </w:r>
      <w:proofErr w:type="gramEnd"/>
      <w:r>
        <w:rPr>
          <w:rFonts w:ascii="Arial" w:hAnsi="Arial" w:cs="Arial"/>
          <w:color w:val="333333"/>
          <w:sz w:val="21"/>
          <w:szCs w:val="21"/>
        </w:rPr>
        <w:t>，对在主板、创业板、中小板和境外资本市场上市的县内企业，县财政每户</w:t>
      </w:r>
      <w:proofErr w:type="gramStart"/>
      <w:r>
        <w:rPr>
          <w:rFonts w:ascii="Arial" w:hAnsi="Arial" w:cs="Arial"/>
          <w:color w:val="333333"/>
          <w:sz w:val="21"/>
          <w:szCs w:val="21"/>
        </w:rPr>
        <w:t>一次性奖补</w:t>
      </w:r>
      <w:r>
        <w:rPr>
          <w:rFonts w:ascii="Arial" w:hAnsi="Arial" w:cs="Arial"/>
          <w:color w:val="333333"/>
          <w:sz w:val="21"/>
          <w:szCs w:val="21"/>
          <w:bdr w:val="none" w:sz="0" w:space="0" w:color="auto" w:frame="1"/>
        </w:rPr>
        <w:t>300</w:t>
      </w:r>
      <w:r>
        <w:rPr>
          <w:rFonts w:ascii="Arial" w:hAnsi="Arial" w:cs="Arial"/>
          <w:color w:val="333333"/>
          <w:sz w:val="21"/>
          <w:szCs w:val="21"/>
        </w:rPr>
        <w:t>万元</w:t>
      </w:r>
      <w:proofErr w:type="gramEnd"/>
      <w:r>
        <w:rPr>
          <w:rFonts w:ascii="Arial" w:hAnsi="Arial" w:cs="Arial"/>
          <w:color w:val="333333"/>
          <w:sz w:val="21"/>
          <w:szCs w:val="21"/>
        </w:rPr>
        <w:t>。（责任单位：县金融工作局、财政局）</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六、拓宽融资渠道。</w:t>
      </w:r>
      <w:r>
        <w:rPr>
          <w:rFonts w:ascii="Arial" w:hAnsi="Arial" w:cs="Arial"/>
          <w:color w:val="333333"/>
          <w:sz w:val="21"/>
          <w:szCs w:val="21"/>
        </w:rPr>
        <w:t>鼓励债券融资，积极培育债券发行企业，加强企业债、项目收益债、公司债、银行间融资工具的宣传、指导、推介工作，做好与上级相关部门的沟通协调，确保企业债券发行零的突破；做好政府债券发行基础工作，抓好国家建设债券发展承</w:t>
      </w:r>
      <w:r>
        <w:rPr>
          <w:rFonts w:ascii="Arial" w:hAnsi="Arial" w:cs="Arial"/>
          <w:color w:val="333333"/>
          <w:sz w:val="21"/>
          <w:szCs w:val="21"/>
        </w:rPr>
        <w:lastRenderedPageBreak/>
        <w:t>接落实工作。支持基金业发展，设立政府先导基金、种子基金，大力吸引风险投资、私</w:t>
      </w:r>
      <w:proofErr w:type="gramStart"/>
      <w:r>
        <w:rPr>
          <w:rFonts w:ascii="Arial" w:hAnsi="Arial" w:cs="Arial"/>
          <w:color w:val="333333"/>
          <w:sz w:val="21"/>
          <w:szCs w:val="21"/>
        </w:rPr>
        <w:t>募股权</w:t>
      </w:r>
      <w:proofErr w:type="gramEnd"/>
      <w:r>
        <w:rPr>
          <w:rFonts w:ascii="Arial" w:hAnsi="Arial" w:cs="Arial"/>
          <w:color w:val="333333"/>
          <w:sz w:val="21"/>
          <w:szCs w:val="21"/>
        </w:rPr>
        <w:t>投资、产业资本等参与我县旅游文化、温泉、养老养生、生态农业、油茶等产业发展。发展总部经济，吸引有实力的企业在我县投资设立各类投资基金；积极争取赣南苏区振兴发展产业投资基金对我县的支持。（责任单位：县财政局、</w:t>
      </w:r>
      <w:proofErr w:type="gramStart"/>
      <w:r>
        <w:rPr>
          <w:rFonts w:ascii="Arial" w:hAnsi="Arial" w:cs="Arial"/>
          <w:color w:val="333333"/>
          <w:sz w:val="21"/>
          <w:szCs w:val="21"/>
        </w:rPr>
        <w:t>发改委</w:t>
      </w:r>
      <w:proofErr w:type="gramEnd"/>
      <w:r>
        <w:rPr>
          <w:rFonts w:ascii="Arial" w:hAnsi="Arial" w:cs="Arial"/>
          <w:color w:val="333333"/>
          <w:sz w:val="21"/>
          <w:szCs w:val="21"/>
        </w:rPr>
        <w:t>、金融工作局、人民银行、工信局、各银行机构）</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七、大力发展保险业。</w:t>
      </w:r>
      <w:r>
        <w:rPr>
          <w:rFonts w:ascii="Arial" w:hAnsi="Arial" w:cs="Arial"/>
          <w:color w:val="333333"/>
          <w:sz w:val="21"/>
          <w:szCs w:val="21"/>
        </w:rPr>
        <w:t>加大保险知识普及力度，提高全社会保险意识；积极对接</w:t>
      </w:r>
      <w:r>
        <w:rPr>
          <w:rFonts w:ascii="Arial" w:hAnsi="Arial" w:cs="Arial"/>
          <w:color w:val="333333"/>
          <w:sz w:val="21"/>
          <w:szCs w:val="21"/>
        </w:rPr>
        <w:t>“</w:t>
      </w:r>
      <w:r>
        <w:rPr>
          <w:rFonts w:ascii="Arial" w:hAnsi="Arial" w:cs="Arial"/>
          <w:color w:val="333333"/>
          <w:sz w:val="21"/>
          <w:szCs w:val="21"/>
        </w:rPr>
        <w:t>险资入赣</w:t>
      </w:r>
      <w:r>
        <w:rPr>
          <w:rFonts w:ascii="Arial" w:hAnsi="Arial" w:cs="Arial"/>
          <w:color w:val="333333"/>
          <w:sz w:val="21"/>
          <w:szCs w:val="21"/>
        </w:rPr>
        <w:t>”</w:t>
      </w:r>
      <w:r>
        <w:rPr>
          <w:rFonts w:ascii="Arial" w:hAnsi="Arial" w:cs="Arial"/>
          <w:color w:val="333333"/>
          <w:sz w:val="21"/>
          <w:szCs w:val="21"/>
        </w:rPr>
        <w:t>保险资金投资我县基础设施和产业项目；积极稳妥发展政策性保险业务，推进农村住房和水稻、柑橘、脐橙、花生、油菜、</w:t>
      </w:r>
      <w:proofErr w:type="gramStart"/>
      <w:r>
        <w:rPr>
          <w:rFonts w:ascii="Arial" w:hAnsi="Arial" w:cs="Arial"/>
          <w:color w:val="333333"/>
          <w:sz w:val="21"/>
          <w:szCs w:val="21"/>
        </w:rPr>
        <w:t>能繁母猪</w:t>
      </w:r>
      <w:proofErr w:type="gramEnd"/>
      <w:r>
        <w:rPr>
          <w:rFonts w:ascii="Arial" w:hAnsi="Arial" w:cs="Arial"/>
          <w:color w:val="333333"/>
          <w:sz w:val="21"/>
          <w:szCs w:val="21"/>
        </w:rPr>
        <w:t>、育肥猪、森林等保险扩面，推进白莲、烟叶等特色农业产业保险；大力发展覆盖全县城乡居民的大病医疗保险，为贫困户承保大病医疗救助险；加快发展商业健康保险；用好出口信用保险政策，扩大保险覆盖范围和行业，鼓励发展国内贸易信用保险；积极发展医疗责任保险、自然灾害公众责任保险、食品安全责任保险；支持商业保险机构参与社会事业和社会管理改革创新，完善多层次社会保障体系。（责任单位：县金融工作局、人民银行、各保险机构）</w:t>
      </w:r>
    </w:p>
    <w:p w:rsidR="00881DAA" w:rsidRDefault="00881DAA" w:rsidP="00881DAA">
      <w:pPr>
        <w:pStyle w:val="a4"/>
        <w:shd w:val="clear" w:color="auto" w:fill="FFFFFF"/>
        <w:spacing w:before="0" w:beforeAutospacing="0" w:after="0" w:afterAutospacing="0" w:line="52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八、切实防控金融风险。</w:t>
      </w:r>
      <w:r>
        <w:rPr>
          <w:rFonts w:ascii="Arial" w:hAnsi="Arial" w:cs="Arial"/>
          <w:color w:val="333333"/>
          <w:sz w:val="21"/>
          <w:szCs w:val="21"/>
        </w:rPr>
        <w:t>加强征信体系建设，建立金融风险防范协调沟通机制、金融诉讼案件快速处置机制，增强金融监管合力；加大对非法集资活动的防范、打击与处置力度，强化对金融领域的监测管理和动态风险排查，督促金融机构及有关方面做好各种情景下的应对预案；支持、鼓励和引导民间融资规范发展，加强对跨市场、交叉性的新产品、新业务的金融监管；完善金融风险预警监控、金融市场舆情快速反应、金融突发性事件应急处置等机制。各银行业金融机构要坚持市场配置金融资源的导向，坚持底线思维，把防范化解金融风险作为金融工作的生命线，牢牢守住不发生系统性、区域性金融风险的底线，确保金融稳定。（责任单位：县银监办、金融工作局、人民银行、公安局、法院）</w:t>
      </w:r>
    </w:p>
    <w:p w:rsidR="00881DAA" w:rsidRDefault="00881DAA" w:rsidP="00881DAA">
      <w:pPr>
        <w:pStyle w:val="a4"/>
        <w:shd w:val="clear" w:color="auto" w:fill="FFFFFF"/>
        <w:spacing w:before="0" w:beforeAutospacing="0" w:after="0" w:afterAutospacing="0" w:line="500" w:lineRule="atLeast"/>
        <w:ind w:left="417"/>
        <w:rPr>
          <w:rFonts w:ascii="Arial" w:hAnsi="Arial" w:cs="Arial"/>
          <w:color w:val="333333"/>
          <w:sz w:val="21"/>
          <w:szCs w:val="21"/>
        </w:rPr>
      </w:pPr>
      <w:r>
        <w:rPr>
          <w:rFonts w:ascii="Arial" w:hAnsi="Arial" w:cs="Arial"/>
          <w:color w:val="333333"/>
          <w:sz w:val="28"/>
          <w:szCs w:val="28"/>
          <w:bdr w:val="none" w:sz="0" w:space="0" w:color="auto" w:frame="1"/>
        </w:rPr>
        <w:t>抄送：</w:t>
      </w:r>
      <w:r>
        <w:rPr>
          <w:rFonts w:ascii="Arial" w:hAnsi="Arial" w:cs="Arial"/>
          <w:color w:val="333333"/>
          <w:spacing w:val="4"/>
          <w:sz w:val="28"/>
          <w:szCs w:val="28"/>
          <w:bdr w:val="none" w:sz="0" w:space="0" w:color="auto" w:frame="1"/>
        </w:rPr>
        <w:t>县委，县纪委，县人大常委会，县政协，县人武部，县委</w:t>
      </w:r>
    </w:p>
    <w:p w:rsidR="00881DAA" w:rsidRDefault="00881DAA" w:rsidP="00881DAA">
      <w:pPr>
        <w:pStyle w:val="a4"/>
        <w:shd w:val="clear" w:color="auto" w:fill="FFFFFF"/>
        <w:spacing w:before="0" w:beforeAutospacing="0" w:after="0" w:afterAutospacing="0" w:line="500" w:lineRule="atLeast"/>
        <w:ind w:left="417" w:firstLine="852"/>
        <w:rPr>
          <w:rFonts w:ascii="Arial" w:hAnsi="Arial" w:cs="Arial"/>
          <w:color w:val="333333"/>
          <w:sz w:val="21"/>
          <w:szCs w:val="21"/>
        </w:rPr>
      </w:pPr>
      <w:r>
        <w:rPr>
          <w:rFonts w:ascii="Arial" w:hAnsi="Arial" w:cs="Arial"/>
          <w:color w:val="333333"/>
          <w:sz w:val="28"/>
          <w:szCs w:val="28"/>
          <w:bdr w:val="none" w:sz="0" w:space="0" w:color="auto" w:frame="1"/>
        </w:rPr>
        <w:t>各部门，县法院，县检察院，群众团体。</w:t>
      </w:r>
    </w:p>
    <w:p w:rsidR="00881DAA" w:rsidRDefault="00881DAA" w:rsidP="00881DAA">
      <w:pPr>
        <w:pStyle w:val="a4"/>
        <w:shd w:val="clear" w:color="auto" w:fill="FFFFFF"/>
        <w:spacing w:before="0" w:beforeAutospacing="0" w:after="0" w:afterAutospacing="0"/>
        <w:ind w:firstLine="324"/>
        <w:rPr>
          <w:rFonts w:ascii="Arial" w:hAnsi="Arial" w:cs="Arial"/>
          <w:color w:val="333333"/>
          <w:sz w:val="21"/>
          <w:szCs w:val="21"/>
        </w:rPr>
      </w:pPr>
      <w:r>
        <w:rPr>
          <w:rFonts w:ascii="Arial" w:hAnsi="Arial" w:cs="Arial"/>
          <w:color w:val="333333"/>
          <w:sz w:val="28"/>
          <w:szCs w:val="28"/>
          <w:bdr w:val="none" w:sz="0" w:space="0" w:color="auto" w:frame="1"/>
        </w:rPr>
        <w:t>石城县人民政府办公室</w:t>
      </w:r>
      <w:r>
        <w:rPr>
          <w:rFonts w:ascii="Arial" w:hAnsi="Arial" w:cs="Arial"/>
          <w:color w:val="333333"/>
          <w:sz w:val="28"/>
          <w:szCs w:val="28"/>
          <w:bdr w:val="none" w:sz="0" w:space="0" w:color="auto" w:frame="1"/>
        </w:rPr>
        <w:t>                 </w:t>
      </w:r>
      <w:r>
        <w:rPr>
          <w:rFonts w:ascii="Arial" w:hAnsi="Arial" w:cs="Arial"/>
          <w:color w:val="333333"/>
          <w:sz w:val="28"/>
          <w:szCs w:val="28"/>
          <w:bdr w:val="none" w:sz="0" w:space="0" w:color="auto" w:frame="1"/>
        </w:rPr>
        <w:t>２０１５年</w:t>
      </w:r>
      <w:r>
        <w:rPr>
          <w:rFonts w:ascii="Arial" w:hAnsi="Arial" w:cs="Arial"/>
          <w:color w:val="333333"/>
          <w:sz w:val="28"/>
          <w:szCs w:val="28"/>
          <w:bdr w:val="none" w:sz="0" w:space="0" w:color="auto" w:frame="1"/>
        </w:rPr>
        <w:t>9</w:t>
      </w:r>
      <w:r>
        <w:rPr>
          <w:rFonts w:ascii="Arial" w:hAnsi="Arial" w:cs="Arial"/>
          <w:color w:val="333333"/>
          <w:sz w:val="28"/>
          <w:szCs w:val="28"/>
          <w:bdr w:val="none" w:sz="0" w:space="0" w:color="auto" w:frame="1"/>
        </w:rPr>
        <w:t>月７日印发</w:t>
      </w:r>
    </w:p>
    <w:p w:rsidR="00A832A8" w:rsidRPr="00881DAA" w:rsidRDefault="00A832A8" w:rsidP="00881DAA">
      <w:bookmarkStart w:id="0" w:name="_GoBack"/>
      <w:bookmarkEnd w:id="0"/>
    </w:p>
    <w:sectPr w:rsidR="00A832A8" w:rsidRPr="00881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D6"/>
    <w:rsid w:val="008719D6"/>
    <w:rsid w:val="00881DAA"/>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99316-A286-4260-A356-898868A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719D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881DA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19D6"/>
    <w:rPr>
      <w:rFonts w:ascii="宋体" w:eastAsia="宋体" w:hAnsi="宋体" w:cs="宋体"/>
      <w:b/>
      <w:bCs/>
      <w:kern w:val="36"/>
      <w:sz w:val="48"/>
      <w:szCs w:val="48"/>
    </w:rPr>
  </w:style>
  <w:style w:type="character" w:customStyle="1" w:styleId="apple-converted-space">
    <w:name w:val="apple-converted-space"/>
    <w:basedOn w:val="a0"/>
    <w:rsid w:val="008719D6"/>
  </w:style>
  <w:style w:type="character" w:styleId="a3">
    <w:name w:val="Hyperlink"/>
    <w:basedOn w:val="a0"/>
    <w:uiPriority w:val="99"/>
    <w:semiHidden/>
    <w:unhideWhenUsed/>
    <w:rsid w:val="008719D6"/>
    <w:rPr>
      <w:color w:val="0000FF"/>
      <w:u w:val="single"/>
    </w:rPr>
  </w:style>
  <w:style w:type="character" w:customStyle="1" w:styleId="2Char">
    <w:name w:val="标题 2 Char"/>
    <w:basedOn w:val="a0"/>
    <w:link w:val="2"/>
    <w:uiPriority w:val="9"/>
    <w:semiHidden/>
    <w:rsid w:val="00881DAA"/>
    <w:rPr>
      <w:rFonts w:asciiTheme="majorHAnsi" w:eastAsiaTheme="majorEastAsia" w:hAnsiTheme="majorHAnsi" w:cstheme="majorBidi"/>
      <w:b/>
      <w:bCs/>
      <w:sz w:val="32"/>
      <w:szCs w:val="32"/>
    </w:rPr>
  </w:style>
  <w:style w:type="character" w:customStyle="1" w:styleId="cn4">
    <w:name w:val="cn4"/>
    <w:basedOn w:val="a0"/>
    <w:rsid w:val="00881DAA"/>
  </w:style>
  <w:style w:type="paragraph" w:styleId="a4">
    <w:name w:val="Normal (Web)"/>
    <w:basedOn w:val="a"/>
    <w:uiPriority w:val="99"/>
    <w:semiHidden/>
    <w:unhideWhenUsed/>
    <w:rsid w:val="00881D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88723">
      <w:bodyDiv w:val="1"/>
      <w:marLeft w:val="0"/>
      <w:marRight w:val="0"/>
      <w:marTop w:val="0"/>
      <w:marBottom w:val="0"/>
      <w:divBdr>
        <w:top w:val="none" w:sz="0" w:space="0" w:color="auto"/>
        <w:left w:val="none" w:sz="0" w:space="0" w:color="auto"/>
        <w:bottom w:val="none" w:sz="0" w:space="0" w:color="auto"/>
        <w:right w:val="none" w:sz="0" w:space="0" w:color="auto"/>
      </w:divBdr>
      <w:divsChild>
        <w:div w:id="2069257500">
          <w:marLeft w:val="0"/>
          <w:marRight w:val="0"/>
          <w:marTop w:val="0"/>
          <w:marBottom w:val="0"/>
          <w:divBdr>
            <w:top w:val="none" w:sz="0" w:space="0" w:color="auto"/>
            <w:left w:val="none" w:sz="0" w:space="0" w:color="auto"/>
            <w:bottom w:val="none" w:sz="0" w:space="0" w:color="auto"/>
            <w:right w:val="none" w:sz="0" w:space="0" w:color="auto"/>
          </w:divBdr>
        </w:div>
      </w:divsChild>
    </w:div>
    <w:div w:id="1229537874">
      <w:bodyDiv w:val="1"/>
      <w:marLeft w:val="0"/>
      <w:marRight w:val="0"/>
      <w:marTop w:val="0"/>
      <w:marBottom w:val="0"/>
      <w:divBdr>
        <w:top w:val="none" w:sz="0" w:space="0" w:color="auto"/>
        <w:left w:val="none" w:sz="0" w:space="0" w:color="auto"/>
        <w:bottom w:val="none" w:sz="0" w:space="0" w:color="auto"/>
        <w:right w:val="none" w:sz="0" w:space="0" w:color="auto"/>
      </w:divBdr>
      <w:divsChild>
        <w:div w:id="776413630">
          <w:marLeft w:val="600"/>
          <w:marRight w:val="600"/>
          <w:marTop w:val="0"/>
          <w:marBottom w:val="0"/>
          <w:divBdr>
            <w:top w:val="none" w:sz="0" w:space="0" w:color="auto"/>
            <w:left w:val="none" w:sz="0" w:space="0" w:color="auto"/>
            <w:bottom w:val="none" w:sz="0" w:space="0" w:color="auto"/>
            <w:right w:val="none" w:sz="0" w:space="0" w:color="auto"/>
          </w:divBdr>
        </w:div>
        <w:div w:id="203374231">
          <w:marLeft w:val="0"/>
          <w:marRight w:val="0"/>
          <w:marTop w:val="0"/>
          <w:marBottom w:val="0"/>
          <w:divBdr>
            <w:top w:val="none" w:sz="0" w:space="0" w:color="auto"/>
            <w:left w:val="none" w:sz="0" w:space="0" w:color="auto"/>
            <w:bottom w:val="none" w:sz="0" w:space="0" w:color="auto"/>
            <w:right w:val="none" w:sz="0" w:space="0" w:color="auto"/>
          </w:divBdr>
          <w:divsChild>
            <w:div w:id="20857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Wen, Yidan (Student)</cp:lastModifiedBy>
  <cp:revision>2</cp:revision>
  <dcterms:created xsi:type="dcterms:W3CDTF">2018-05-17T05:58:00Z</dcterms:created>
  <dcterms:modified xsi:type="dcterms:W3CDTF">2018-09-03T03:37:00Z</dcterms:modified>
</cp:coreProperties>
</file>