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600" w:hRule="atLeast"/>
        </w:trPr>
        <w:tc>
          <w:tcPr>
            <w:tcW w:w="8306" w:type="dxa"/>
            <w:shd w:val="clear" w:color="auto" w:fill="FFFFFF"/>
            <w:tcMar>
              <w:bottom w:w="15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i w:val="0"/>
                <w:caps w:val="0"/>
                <w:color w:val="C02020"/>
                <w:spacing w:val="0"/>
                <w:sz w:val="32"/>
                <w:szCs w:val="32"/>
              </w:rPr>
            </w:pPr>
            <w:bookmarkStart w:id="0" w:name="_GoBack"/>
            <w:r>
              <w:rPr>
                <w:rFonts w:hint="eastAsia" w:ascii="宋体" w:hAnsi="宋体" w:eastAsia="宋体" w:cs="宋体"/>
                <w:b/>
                <w:i w:val="0"/>
                <w:caps w:val="0"/>
                <w:color w:val="C02020"/>
                <w:spacing w:val="0"/>
                <w:kern w:val="0"/>
                <w:sz w:val="32"/>
                <w:szCs w:val="32"/>
                <w:bdr w:val="none" w:color="auto" w:sz="0" w:space="0"/>
                <w:lang w:val="en-US" w:eastAsia="zh-CN" w:bidi="ar"/>
              </w:rPr>
              <w:t>转发县财政局、人社局制定的《建湖县全民创业专项资金管理暂行办法》的通知</w:t>
            </w:r>
            <w:bookmarkEnd w:id="0"/>
          </w:p>
        </w:tc>
      </w:tr>
    </w:tbl>
    <w:p>
      <w:pPr>
        <w:rPr>
          <w:vanish/>
          <w:sz w:val="24"/>
          <w:szCs w:val="24"/>
        </w:rPr>
      </w:pPr>
    </w:p>
    <w:tbl>
      <w:tblPr>
        <w:tblW w:w="8306" w:type="dxa"/>
        <w:tblInd w:w="0" w:type="dxa"/>
        <w:shd w:val="clear" w:color="auto" w:fill="F3F3F3"/>
        <w:tblLayout w:type="fixed"/>
        <w:tblCellMar>
          <w:top w:w="0" w:type="dxa"/>
          <w:left w:w="0" w:type="dxa"/>
          <w:bottom w:w="0" w:type="dxa"/>
          <w:right w:w="0" w:type="dxa"/>
        </w:tblCellMar>
      </w:tblPr>
      <w:tblGrid>
        <w:gridCol w:w="8306"/>
      </w:tblGrid>
      <w:tr>
        <w:tblPrEx>
          <w:shd w:val="clear" w:color="auto" w:fill="F3F3F3"/>
          <w:tblLayout w:type="fixed"/>
          <w:tblCellMar>
            <w:top w:w="0" w:type="dxa"/>
            <w:left w:w="0" w:type="dxa"/>
            <w:bottom w:w="0" w:type="dxa"/>
            <w:right w:w="0" w:type="dxa"/>
          </w:tblCellMar>
        </w:tblPrEx>
        <w:trPr>
          <w:trHeight w:val="60" w:hRule="atLeast"/>
        </w:trPr>
        <w:tc>
          <w:tcPr>
            <w:tcW w:w="8306" w:type="dxa"/>
            <w:shd w:val="clear" w:color="auto" w:fill="F3F3F3"/>
            <w:vAlign w:val="center"/>
          </w:tcPr>
          <w:p>
            <w:pPr>
              <w:rPr>
                <w:rFonts w:hint="eastAsia" w:ascii="宋体" w:hAnsi="宋体" w:eastAsia="宋体" w:cs="宋体"/>
                <w:i w:val="0"/>
                <w:caps w:val="0"/>
                <w:color w:val="3D3D3D"/>
                <w:spacing w:val="0"/>
                <w:sz w:val="18"/>
                <w:szCs w:val="18"/>
              </w:rPr>
            </w:pPr>
          </w:p>
        </w:tc>
      </w:tr>
    </w:tbl>
    <w:p>
      <w:pPr>
        <w:rPr>
          <w:vanish/>
          <w:sz w:val="24"/>
          <w:szCs w:val="24"/>
        </w:rPr>
      </w:pPr>
    </w:p>
    <w:tbl>
      <w:tblPr>
        <w:tblW w:w="9506" w:type="dxa"/>
        <w:tblInd w:w="0" w:type="dxa"/>
        <w:shd w:val="clear" w:color="auto" w:fill="FFFFFF"/>
        <w:tblLayout w:type="fixed"/>
        <w:tblCellMar>
          <w:top w:w="0" w:type="dxa"/>
          <w:left w:w="0" w:type="dxa"/>
          <w:bottom w:w="0" w:type="dxa"/>
          <w:right w:w="0" w:type="dxa"/>
        </w:tblCellMar>
      </w:tblPr>
      <w:tblGrid>
        <w:gridCol w:w="9506"/>
      </w:tblGrid>
      <w:tr>
        <w:tblPrEx>
          <w:shd w:val="clear" w:color="auto" w:fill="FFFFFF"/>
          <w:tblLayout w:type="fixed"/>
          <w:tblCellMar>
            <w:top w:w="0" w:type="dxa"/>
            <w:left w:w="0" w:type="dxa"/>
            <w:bottom w:w="0" w:type="dxa"/>
            <w:right w:w="0" w:type="dxa"/>
          </w:tblCellMar>
        </w:tblPrEx>
        <w:trPr>
          <w:trHeight w:val="2116" w:hRule="atLeast"/>
        </w:trPr>
        <w:tc>
          <w:tcPr>
            <w:tcW w:w="9506" w:type="dxa"/>
            <w:shd w:val="clear" w:color="auto" w:fill="FFFFFF"/>
            <w:tcMar>
              <w:top w:w="150" w:type="dxa"/>
              <w:left w:w="600" w:type="dxa"/>
              <w:bottom w:w="300" w:type="dxa"/>
              <w:right w:w="60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各镇人民政府，各街道办事处，县开发区、高新区、九龙口旅游度假区管委会，县各委办局，县各直属单位：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为规范专项资金管理、提高专项资金使用绩效，县财政局、人社局根据相关法律法规规定，结合我县具体实际，起草了《建湖县全民创业专项资金管理暂行办法》，已经县长会办会讨论通过，现转发给你们，希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建湖县人民政府办公室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2016年9月3日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建湖县全民创业专项资金管理暂行办法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第一章总则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一条为加强对创新创业专项资金管理和监督，提高资金使用效益，鼓励和促进大众创业万众创新工作开展，努力培育新的经济增长点，根据《中华人民共和国预算法》、国务院《关于进一步做好新形势下就业创业工作的意见》（国发〔2015〕23号）、《江苏省省级财政专项资金管理办法》、以及县委、县政府《关于促进全民创新创业的政策意见》等法律、法规和文件规定，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第二条全民创业专项资金（简称“专项资金”），是指由县级财政设立，纳入县级财政预算管理，用于鼓励和支持高校毕业生、科技人才（团队）等各类创业人员创新创业的专项资金。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第三条 专项资金的使用，遵循统筹兼顾、公开透明、规范管理、专款专用的原则。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第二章 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第四条专项资金管理由县财政局和县人社局按各自职责，密切配合，协同做好专项资金的使用和管理工作。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（一）县财政局部门主要履行以下职责：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1．编制专项资金支出预算，审核专项资金使用计划；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2．参与专项资金政策的制定，会同县业务主管部门建立健全专项资金管理办法；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3．按程序拨付专项资金；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4．实施绩效运行监控、绩效财政评价及结果应用；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5．监督检查专项资金的使用情况。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（二）县人社局主要履行以下职责：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1．配合县财政局做好预算编制工作，制定考核奖补实施细则，提出专项资金年度支持重点和绩效目标；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2．牵头组织专项资金的申报、考核和评审，提出考核奖补建议方案；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3．按绩效目标对专项资金进行绩效跟踪和绩效部门评价；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4．配合县财政局建立健全专项资金管理办法；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5．指导专项资金使用单位的财务管理和会计核算，对专项资金使用情况进行跟踪监督，按规定向县财政局报送专项资金使用情况。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第五条项目实施单位主要职责：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（一）在县财政局、县人社局指导下开展项目申报和实施工作，对项目申报的真实性、合规性和合理性负责，是项目实施的质量、进度、安全、档案管理和资金使用的责任主体；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（二）编制项目实施方案，建立健全项目实施管理制度，依法组织项目实施，对形成的国有资产登记入账；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（三）做好项目竣工验收等工作；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（四）主动接受和配合项目绩效评价、检查审计。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第三章使用范围和分配方式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第六条专项资金主要用于：支持高校毕业生、科技人才（团队）入驻我县 “四区三园”和大学生创业园、智慧产业园，投资兴办工业、生产性服务业创业创新项目发生的服务装备、基础设施、教育培训和信息服务等相关经费的奖补支出，包括：对创新创业项目的资助，创业载体建设奖励，创业人才培训和优秀创业人才奖励，创业贷款担保、贴息及担保风险补偿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第七条专项资金不得用于：建造楼堂馆所、购置车辆、通讯器材和高档消费品，以及与创新创业项目无关的其他支出。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第八条按照创新创业项目实际投入并结合其他同类财政奖补等情况，确定具体的奖补金额。其中：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一）创新创业项目资助。对高校毕业后5年内成功创办符合上述资金使用范围的项目，正常生产经营（以正常缴纳增值税或营业税时间起算，下同）并按规定缴纳税费的，参照就业困难人员标准给予最长不超过3年的社会保险补贴；对高校毕业后5年内和具备中级以上技术职称科技人员成功创办符合上述资金使用范围的项目，正常生产独立经营达1年以上的，给予总额不超过5万元（含）且不超过项目实际投资30%的一次性创业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二）创业载体建设奖励。对创建成市级、省级、国家级创业孵化示范基地、创业实训示范基地、大学生创业园、人力资源服务创业园、博士后创新实践基地、小企业创业基地、“众创空间”等品牌的分别给予一次性奖励5万元、20万元、30万元。对高校毕业生、科技人才（团队）入驻各镇（街道、区）中小企业园标准厂房或租赁闲置厂房创业，形成开票销售并正常缴纳社会保险的新办工业企业和生产性服务业企业，分别给予第1年全额、第2年与第3年房租减半补助政策，由创业园区所在镇（街道、区）负责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三）创业人才培训补助。县中专学校、高级技校或定点培训机构，对有创业愿望的城乡人员实行计划免费培训。县人社局在每年第四季度编制完成下年度全县创业人才免费培训计划，并下达到各培训机构。计划内培训人数按500元/人标准奖补，计划外培训人数按400元/人标准奖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四）优秀创业人才奖励。县每年举办一次优秀创业人才评选活动，表彰上年度的10名优秀创业人才，每人给予2万元奖励。每年举办一次创业大赛，组织全县创业项目征集评选活动，评选表彰不少于10个不同类别20个优秀创业项目，每个给予1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五）创业贷款贴息。（1）对前述创业人员兴办的科技创新能力较强和成长性较好的战略性新兴产业、智能制造、“互联网+”等新业态创业项目，每年经申报、评选等程序，筛选30个以内项目，结合当年度贴息资金总量等情况，一般按贷款额度100万以内（含100万元）和不超过一年期银行贷款基准利率贴息，贴息期 2年。其中对全县产业转型升级有较强示范带动作用的创业项目数控制在10个以内，贴息贷款额度可放宽至200万元以内（含200万元）。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2）对前述创业人员兴办企业入驻县“四区三园”和各镇中小企业园的，每年经申报、评选等程序，筛选50个以内项目，结合当年度贴息资金总量等情况，一般按贷款额度20万以内（含20万元）和不超过一年期银行贷款基准利率贴息，贴息期 2年。其中：对创办智力型、成长型小企业和“凤还巢”企业的创业项目数控制在10个以内，贴息贷款额度可放宽至50万元以内（含50万元）。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3）对建湖籍城镇失业人员、复员转业退役军人、登记失业的大中专和职技院校毕业生等创业人员，从事微利创业项目的，按最高贷款额度10万元，给予一年同期银行贷款基准利率贴息；从事非微利项目，按最高贷款额度10万元，给予一年同期银行贷款基准利率50%的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六）创业贷款担保风险补偿。对运营1年以上、具有独立的法人资格（主要投资人无其他实体企业）的创新型科技型企业（具有专利、软件著作权等自主知识产权或核心专有技术），在2年内创业失败，“创业贷”出现风险后，予以经济补偿。对单个企业经济补偿总额不超过100万元，财政资金和银行风险分担比例为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上述一次性创业资助、创业贷款贴息、创业贷款政府担保，按照不重复享受原则，由创业人员自选一项安排。如与其他文件重复的，本着就高、不重复的原则奖补。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第九条专项资金采取直接下达方式管理。由县人社局制定项目实施方案（或意见），提出资金分配计划，经县财政局审核后，资金直接下达项目实施单位。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第四章申报与审批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第十条 专项资金属于“先建后补、以奖代补”类项目，根据预算管理规定，县财政根据上年验收情况，将补助资金编入次年预算，并于次年下达，或采用预拨形式，待验收合格后拨付尾款。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第十一条县人社局根据本办法，建立健全相关项目管理制度，对项目管理流程作出具体管理规定，会商县财政局后发布执行。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第十二条对创新创业单位和培训机构的补助资金，直接通过县国库集中支付系统下达。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第十三条项目实施单位要加强资金核算和管理，严格按照规定用途使用资金，对形成的国有资产登记入账。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第十四条 项目资金出现结余的，结余资金由县财政局会同县人社局继续用于符合本办法规定及使用范围的项目。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第五章绩效管理和监督检查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五条根据《江苏省财政专项资金绩效管理办法》（苏财规﹝2010﹞36号）等文件规定，县财政、人社主管部门及项目实施单位要建立绩效考核制度，做好绩效目标预算编制和项目完工绩效评价。绩效评价结果按照政府信息公开有关规定建立公示制度，接受社会公众监督，并作为下一年度专项资金预算分配安排、年度预算调整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六条县人社局、县财政局应当加强项目实施和资金管理监督检查。对监督检查和审计中发现违反本办法规定行为的，以及虚报、套取、骗取、挪用奖补资金的，按照《财政违法行为处罚处分条例》、《江苏省省级财政专项资金管理办法》（省政府令第63号）和《江苏省财政监督办法》（省政府令第32号）及有关法律法规规定给予处理、处罚和处分，涉嫌犯罪的，移交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第六章附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第十七条 本办法自发文之日起施行。此前有关规定与本办法不一致的，以本办法为准。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color w:val="000000"/>
                <w:u w:val="none"/>
              </w:rPr>
            </w:pPr>
            <w:r>
              <w:rPr>
                <w:rFonts w:hint="eastAsia" w:ascii="宋体" w:hAnsi="宋体" w:eastAsia="宋体" w:cs="宋体"/>
                <w:i w:val="0"/>
                <w:caps w:val="0"/>
                <w:color w:val="000000"/>
                <w:spacing w:val="0"/>
                <w:sz w:val="21"/>
                <w:szCs w:val="21"/>
                <w:u w:val="none"/>
                <w:bdr w:val="none" w:color="auto" w:sz="0" w:space="0"/>
              </w:rPr>
              <w:t>　　第十八条本办法由县财政局会同县人社局负责解释。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13B78C6"/>
    <w:rsid w:val="24844F8E"/>
    <w:rsid w:val="2BF06129"/>
    <w:rsid w:val="2F305224"/>
    <w:rsid w:val="30481606"/>
    <w:rsid w:val="31133E7D"/>
    <w:rsid w:val="319C3E9E"/>
    <w:rsid w:val="389F5938"/>
    <w:rsid w:val="38DE54C9"/>
    <w:rsid w:val="44522CB0"/>
    <w:rsid w:val="47353CEF"/>
    <w:rsid w:val="49D47A55"/>
    <w:rsid w:val="4D1472B9"/>
    <w:rsid w:val="4F7E3B36"/>
    <w:rsid w:val="541147C5"/>
    <w:rsid w:val="58B253C0"/>
    <w:rsid w:val="5ACF36D4"/>
    <w:rsid w:val="5BB45E47"/>
    <w:rsid w:val="5E184EF7"/>
    <w:rsid w:val="5E492EC9"/>
    <w:rsid w:val="60A51D0E"/>
    <w:rsid w:val="6155254D"/>
    <w:rsid w:val="6B1F541A"/>
    <w:rsid w:val="6B5C0F65"/>
    <w:rsid w:val="6D535020"/>
    <w:rsid w:val="6EA45962"/>
    <w:rsid w:val="6EF32C78"/>
    <w:rsid w:val="726F7624"/>
    <w:rsid w:val="739D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2018-06-10T15:15:34Z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