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line="15" w:lineRule="atLeast"/>
              <w:jc w:val="center"/>
              <w:rPr>
                <w:rFonts w:hint="eastAsia" w:ascii="宋体" w:hAnsi="宋体" w:eastAsia="宋体" w:cs="宋体"/>
                <w:b/>
                <w:sz w:val="24"/>
                <w:szCs w:val="24"/>
              </w:rPr>
            </w:pPr>
            <w:bookmarkStart w:id="0" w:name="_GoBack"/>
            <w:r>
              <w:rPr>
                <w:rFonts w:hint="eastAsia" w:ascii="宋体" w:hAnsi="宋体" w:eastAsia="宋体" w:cs="宋体"/>
                <w:b/>
                <w:sz w:val="24"/>
                <w:szCs w:val="24"/>
                <w:bdr w:val="none" w:color="auto" w:sz="0" w:space="0"/>
              </w:rPr>
              <w:t>关</w:t>
            </w:r>
            <w:r>
              <w:rPr>
                <w:rFonts w:hint="eastAsia" w:ascii="宋体" w:hAnsi="宋体" w:eastAsia="宋体" w:cs="宋体"/>
                <w:b/>
                <w:kern w:val="0"/>
                <w:sz w:val="24"/>
                <w:szCs w:val="24"/>
                <w:bdr w:val="none" w:color="auto" w:sz="0" w:space="0"/>
                <w:lang w:val="en-US" w:eastAsia="zh-CN" w:bidi="ar"/>
              </w:rPr>
              <w:t>于印发《眉山市高层次人才分类认定办法（试行）》等三个办法的通知</w:t>
            </w:r>
            <w:bookmarkEnd w:id="0"/>
            <w:r>
              <w:rPr>
                <w:rFonts w:hint="eastAsia" w:ascii="宋体" w:hAnsi="宋体" w:eastAsia="宋体" w:cs="宋体"/>
                <w:b/>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rPr>
          <w:trHeight w:val="450" w:hRule="atLeast"/>
          <w:tblCellSpacing w:w="0" w:type="dxa"/>
        </w:trPr>
        <w:tc>
          <w:tcPr>
            <w:tcW w:w="8306" w:type="dxa"/>
            <w:shd w:val="clear"/>
            <w:vAlign w:val="center"/>
          </w:tcPr>
          <w:p>
            <w:pPr>
              <w:keepNext w:val="0"/>
              <w:keepLines w:val="0"/>
              <w:widowControl/>
              <w:suppressLineNumbers w:val="0"/>
              <w:spacing w:line="30" w:lineRule="atLeast"/>
              <w:jc w:val="center"/>
              <w:rPr>
                <w:rFonts w:hint="eastAsia" w:ascii="宋体" w:hAnsi="宋体" w:eastAsia="宋体" w:cs="宋体"/>
                <w:sz w:val="18"/>
                <w:szCs w:val="18"/>
              </w:rPr>
            </w:pPr>
            <w:r>
              <w:rPr>
                <w:rStyle w:val="23"/>
                <w:rFonts w:hint="eastAsia" w:ascii="宋体" w:hAnsi="宋体" w:eastAsia="宋体" w:cs="宋体"/>
                <w:bdr w:val="none" w:color="auto" w:sz="0" w:space="0"/>
                <w:lang w:val="en-US" w:eastAsia="zh-CN" w:bidi="ar"/>
              </w:rPr>
              <w:t>2018-04-19 16:51</w:t>
            </w:r>
            <w:r>
              <w:rPr>
                <w:rFonts w:hint="eastAsia" w:ascii="宋体" w:hAnsi="宋体" w:eastAsia="宋体" w:cs="宋体"/>
                <w:kern w:val="0"/>
                <w:sz w:val="18"/>
                <w:szCs w:val="18"/>
                <w:bdr w:val="none" w:color="auto" w:sz="0" w:space="0"/>
                <w:lang w:val="en-US" w:eastAsia="zh-CN" w:bidi="ar"/>
              </w:rPr>
              <w:t xml:space="preserve"> </w:t>
            </w:r>
            <w:r>
              <w:rPr>
                <w:rStyle w:val="24"/>
                <w:rFonts w:hint="eastAsia" w:ascii="宋体" w:hAnsi="宋体" w:eastAsia="宋体" w:cs="宋体"/>
                <w:bdr w:val="none" w:color="auto" w:sz="0" w:space="0"/>
                <w:lang w:val="en-US" w:eastAsia="zh-CN" w:bidi="ar"/>
              </w:rPr>
              <w:t> </w:t>
            </w:r>
            <w:r>
              <w:rPr>
                <w:rFonts w:hint="eastAsia" w:ascii="宋体" w:hAnsi="宋体" w:eastAsia="宋体" w:cs="宋体"/>
                <w:kern w:val="0"/>
                <w:sz w:val="18"/>
                <w:szCs w:val="18"/>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rPr>
          <w:trHeight w:val="75" w:hRule="atLeast"/>
          <w:tblCellSpacing w:w="0" w:type="dxa"/>
        </w:trPr>
        <w:tc>
          <w:tcPr>
            <w:tcW w:w="8306" w:type="dxa"/>
            <w:shd w:val="cle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blCellSpacing w:w="0" w:type="dxa"/>
        </w:trPr>
        <w:tc>
          <w:tcPr>
            <w:tcW w:w="8306" w:type="dxa"/>
            <w:shd w:val="clear"/>
            <w:vAlign w:val="center"/>
          </w:tcPr>
          <w:tbl>
            <w:tblPr>
              <w:tblW w:w="8302" w:type="dxa"/>
              <w:tblCellSpacing w:w="7" w:type="dxa"/>
              <w:tblInd w:w="0" w:type="dxa"/>
              <w:shd w:val="clear" w:color="auto" w:fill="ECC197"/>
              <w:tblLayout w:type="fixed"/>
              <w:tblCellMar>
                <w:top w:w="30" w:type="dxa"/>
                <w:left w:w="30" w:type="dxa"/>
                <w:bottom w:w="30" w:type="dxa"/>
                <w:right w:w="30" w:type="dxa"/>
              </w:tblCellMar>
            </w:tblPr>
            <w:tblGrid>
              <w:gridCol w:w="1378"/>
              <w:gridCol w:w="2624"/>
              <w:gridCol w:w="1186"/>
              <w:gridCol w:w="817"/>
              <w:gridCol w:w="1186"/>
              <w:gridCol w:w="1111"/>
            </w:tblGrid>
            <w:tr>
              <w:tblPrEx>
                <w:tblLayout w:type="fixed"/>
                <w:tblCellMar>
                  <w:top w:w="30" w:type="dxa"/>
                  <w:left w:w="30" w:type="dxa"/>
                  <w:bottom w:w="30" w:type="dxa"/>
                  <w:right w:w="30" w:type="dxa"/>
                </w:tblCellMar>
              </w:tblPrEx>
              <w:trPr>
                <w:tblCellSpacing w:w="7" w:type="dxa"/>
              </w:trPr>
              <w:tc>
                <w:tcPr>
                  <w:tcW w:w="1357" w:type="dxa"/>
                  <w:shd w:val="clear" w:color="auto" w:fill="FFFFEC"/>
                  <w:vAlign w:val="center"/>
                </w:tcPr>
                <w:p>
                  <w:pPr>
                    <w:keepNext w:val="0"/>
                    <w:keepLines w:val="0"/>
                    <w:widowControl/>
                    <w:suppressLineNumbers w:val="0"/>
                    <w:spacing w:line="345" w:lineRule="atLeast"/>
                    <w:jc w:val="left"/>
                    <w:rPr>
                      <w:rFonts w:hint="eastAsia" w:ascii="宋体" w:hAnsi="宋体" w:eastAsia="宋体" w:cs="宋体"/>
                      <w:color w:val="3E3E3E"/>
                      <w:sz w:val="18"/>
                      <w:szCs w:val="18"/>
                    </w:rPr>
                  </w:pPr>
                  <w:r>
                    <w:rPr>
                      <w:rFonts w:hint="eastAsia" w:ascii="宋体" w:hAnsi="宋体" w:eastAsia="宋体" w:cs="宋体"/>
                      <w:color w:val="3E3E3E"/>
                      <w:kern w:val="0"/>
                      <w:sz w:val="18"/>
                      <w:szCs w:val="18"/>
                      <w:bdr w:val="none" w:color="auto" w:sz="0" w:space="0"/>
                      <w:lang w:val="en-US" w:eastAsia="zh-CN" w:bidi="ar"/>
                    </w:rPr>
                    <w:t> 索 引 号 </w:t>
                  </w:r>
                </w:p>
              </w:tc>
              <w:tc>
                <w:tcPr>
                  <w:tcW w:w="2612" w:type="dxa"/>
                  <w:shd w:val="clear" w:color="auto" w:fill="FFFFFF"/>
                  <w:vAlign w:val="center"/>
                </w:tcPr>
                <w:p>
                  <w:pPr>
                    <w:keepNext w:val="0"/>
                    <w:keepLines w:val="0"/>
                    <w:widowControl/>
                    <w:suppressLineNumbers w:val="0"/>
                    <w:spacing w:line="345" w:lineRule="atLeast"/>
                    <w:jc w:val="left"/>
                    <w:rPr>
                      <w:rFonts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971045726/szfb/2018-00007</w:t>
                  </w:r>
                </w:p>
              </w:tc>
              <w:tc>
                <w:tcPr>
                  <w:tcW w:w="1174" w:type="dxa"/>
                  <w:shd w:val="clear" w:color="auto" w:fill="FFFFEC"/>
                  <w:vAlign w:val="center"/>
                </w:tcPr>
                <w:p>
                  <w:pPr>
                    <w:keepNext w:val="0"/>
                    <w:keepLines w:val="0"/>
                    <w:widowControl/>
                    <w:suppressLineNumbers w:val="0"/>
                    <w:spacing w:line="345" w:lineRule="atLeast"/>
                    <w:jc w:val="left"/>
                    <w:rPr>
                      <w:rFonts w:hint="eastAsia" w:ascii="宋体" w:hAnsi="宋体" w:eastAsia="宋体" w:cs="宋体"/>
                      <w:color w:val="3E3E3E"/>
                      <w:sz w:val="18"/>
                      <w:szCs w:val="18"/>
                    </w:rPr>
                  </w:pPr>
                  <w:r>
                    <w:rPr>
                      <w:rFonts w:hint="eastAsia" w:ascii="宋体" w:hAnsi="宋体" w:eastAsia="宋体" w:cs="宋体"/>
                      <w:color w:val="3E3E3E"/>
                      <w:kern w:val="0"/>
                      <w:sz w:val="18"/>
                      <w:szCs w:val="18"/>
                      <w:bdr w:val="none" w:color="auto" w:sz="0" w:space="0"/>
                      <w:lang w:val="en-US" w:eastAsia="zh-CN" w:bidi="ar"/>
                    </w:rPr>
                    <w:t> 公开方式 </w:t>
                  </w:r>
                </w:p>
              </w:tc>
              <w:tc>
                <w:tcPr>
                  <w:tcW w:w="805"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主动公开</w:t>
                  </w:r>
                </w:p>
              </w:tc>
              <w:tc>
                <w:tcPr>
                  <w:tcW w:w="1174" w:type="dxa"/>
                  <w:shd w:val="clear" w:color="auto" w:fill="FFFFEC"/>
                  <w:vAlign w:val="center"/>
                </w:tcPr>
                <w:p>
                  <w:pPr>
                    <w:keepNext w:val="0"/>
                    <w:keepLines w:val="0"/>
                    <w:widowControl/>
                    <w:suppressLineNumbers w:val="0"/>
                    <w:spacing w:line="345" w:lineRule="atLeast"/>
                    <w:jc w:val="left"/>
                    <w:rPr>
                      <w:rFonts w:hint="eastAsia" w:ascii="宋体" w:hAnsi="宋体" w:eastAsia="宋体" w:cs="宋体"/>
                      <w:color w:val="3E3E3E"/>
                      <w:sz w:val="18"/>
                      <w:szCs w:val="18"/>
                    </w:rPr>
                  </w:pPr>
                  <w:r>
                    <w:rPr>
                      <w:rFonts w:hint="eastAsia" w:ascii="宋体" w:hAnsi="宋体" w:eastAsia="宋体" w:cs="宋体"/>
                      <w:color w:val="3E3E3E"/>
                      <w:kern w:val="0"/>
                      <w:sz w:val="18"/>
                      <w:szCs w:val="18"/>
                      <w:bdr w:val="none" w:color="auto" w:sz="0" w:space="0"/>
                      <w:lang w:val="en-US" w:eastAsia="zh-CN" w:bidi="ar"/>
                    </w:rPr>
                    <w:t> 公开日期 </w:t>
                  </w:r>
                </w:p>
              </w:tc>
              <w:tc>
                <w:tcPr>
                  <w:tcW w:w="1090"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2018-04-19</w:t>
                  </w:r>
                </w:p>
              </w:tc>
            </w:tr>
            <w:tr>
              <w:tblPrEx>
                <w:shd w:val="clear" w:color="auto" w:fill="ECC197"/>
                <w:tblLayout w:type="fixed"/>
                <w:tblCellMar>
                  <w:top w:w="30" w:type="dxa"/>
                  <w:left w:w="30" w:type="dxa"/>
                  <w:bottom w:w="30" w:type="dxa"/>
                  <w:right w:w="30" w:type="dxa"/>
                </w:tblCellMar>
              </w:tblPrEx>
              <w:trPr>
                <w:tblCellSpacing w:w="7" w:type="dxa"/>
              </w:trPr>
              <w:tc>
                <w:tcPr>
                  <w:tcW w:w="1357" w:type="dxa"/>
                  <w:shd w:val="clear" w:color="auto" w:fill="FFFFEC"/>
                  <w:vAlign w:val="center"/>
                </w:tcPr>
                <w:p>
                  <w:pPr>
                    <w:keepNext w:val="0"/>
                    <w:keepLines w:val="0"/>
                    <w:widowControl/>
                    <w:suppressLineNumbers w:val="0"/>
                    <w:spacing w:line="345" w:lineRule="atLeast"/>
                    <w:jc w:val="left"/>
                    <w:rPr>
                      <w:rFonts w:hint="eastAsia" w:ascii="宋体" w:hAnsi="宋体" w:eastAsia="宋体" w:cs="宋体"/>
                      <w:color w:val="3E3E3E"/>
                      <w:sz w:val="18"/>
                      <w:szCs w:val="18"/>
                    </w:rPr>
                  </w:pPr>
                  <w:r>
                    <w:rPr>
                      <w:rFonts w:hint="eastAsia" w:ascii="宋体" w:hAnsi="宋体" w:eastAsia="宋体" w:cs="宋体"/>
                      <w:color w:val="3E3E3E"/>
                      <w:kern w:val="0"/>
                      <w:sz w:val="18"/>
                      <w:szCs w:val="18"/>
                      <w:bdr w:val="none" w:color="auto" w:sz="0" w:space="0"/>
                      <w:lang w:val="en-US" w:eastAsia="zh-CN" w:bidi="ar"/>
                    </w:rPr>
                    <w:t> 发布机构 </w:t>
                  </w:r>
                </w:p>
              </w:tc>
              <w:tc>
                <w:tcPr>
                  <w:tcW w:w="2612" w:type="dxa"/>
                  <w:shd w:val="clear" w:color="auto" w:fill="FFFFFF"/>
                  <w:vAlign w:val="center"/>
                </w:tcPr>
                <w:p>
                  <w:pPr>
                    <w:keepNext w:val="0"/>
                    <w:keepLines w:val="0"/>
                    <w:widowControl/>
                    <w:suppressLineNumbers w:val="0"/>
                    <w:spacing w:line="345" w:lineRule="atLeast"/>
                    <w:jc w:val="left"/>
                    <w:rPr>
                      <w:rFonts w:hint="eastAsia"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市政府办</w:t>
                  </w:r>
                </w:p>
              </w:tc>
              <w:tc>
                <w:tcPr>
                  <w:tcW w:w="1174" w:type="dxa"/>
                  <w:shd w:val="clear" w:color="auto" w:fill="ECC197"/>
                  <w:vAlign w:val="center"/>
                </w:tcPr>
                <w:p>
                  <w:pPr>
                    <w:rPr>
                      <w:rFonts w:hint="eastAsia" w:ascii="微软雅黑" w:hAnsi="微软雅黑" w:eastAsia="微软雅黑" w:cs="微软雅黑"/>
                      <w:color w:val="3E3E3E"/>
                      <w:sz w:val="18"/>
                      <w:szCs w:val="18"/>
                    </w:rPr>
                  </w:pPr>
                </w:p>
              </w:tc>
              <w:tc>
                <w:tcPr>
                  <w:tcW w:w="3093" w:type="dxa"/>
                  <w:gridSpan w:val="3"/>
                  <w:shd w:val="clear" w:color="auto" w:fill="ECC197"/>
                  <w:vAlign w:val="center"/>
                </w:tcPr>
                <w:p>
                  <w:pPr>
                    <w:rPr>
                      <w:rFonts w:hint="eastAsia" w:ascii="微软雅黑" w:hAnsi="微软雅黑" w:eastAsia="微软雅黑" w:cs="微软雅黑"/>
                      <w:color w:val="3E3E3E"/>
                      <w:sz w:val="18"/>
                      <w:szCs w:val="18"/>
                    </w:rPr>
                  </w:pPr>
                </w:p>
              </w:tc>
            </w:tr>
            <w:tr>
              <w:tblPrEx>
                <w:tblLayout w:type="fixed"/>
                <w:tblCellMar>
                  <w:top w:w="30" w:type="dxa"/>
                  <w:left w:w="30" w:type="dxa"/>
                  <w:bottom w:w="30" w:type="dxa"/>
                  <w:right w:w="30" w:type="dxa"/>
                </w:tblCellMar>
              </w:tblPrEx>
              <w:trPr>
                <w:tblCellSpacing w:w="7" w:type="dxa"/>
              </w:trPr>
              <w:tc>
                <w:tcPr>
                  <w:tcW w:w="1357" w:type="dxa"/>
                  <w:shd w:val="clear" w:color="auto" w:fill="ECC197"/>
                  <w:vAlign w:val="center"/>
                </w:tcPr>
                <w:p>
                  <w:pPr>
                    <w:keepNext w:val="0"/>
                    <w:keepLines w:val="0"/>
                    <w:widowControl/>
                    <w:suppressLineNumbers w:val="0"/>
                    <w:spacing w:line="345" w:lineRule="atLeast"/>
                    <w:jc w:val="left"/>
                    <w:rPr>
                      <w:rFonts w:hint="eastAsia"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 公开程序 </w:t>
                  </w:r>
                </w:p>
              </w:tc>
              <w:tc>
                <w:tcPr>
                  <w:tcW w:w="6903" w:type="dxa"/>
                  <w:gridSpan w:val="5"/>
                  <w:shd w:val="clear" w:color="auto" w:fill="ECC197"/>
                  <w:vAlign w:val="center"/>
                </w:tcPr>
                <w:p>
                  <w:pPr>
                    <w:keepNext w:val="0"/>
                    <w:keepLines w:val="0"/>
                    <w:widowControl/>
                    <w:suppressLineNumbers w:val="0"/>
                    <w:spacing w:line="345" w:lineRule="atLeast"/>
                    <w:jc w:val="left"/>
                    <w:rPr>
                      <w:rFonts w:hint="eastAsia" w:ascii="微软雅黑" w:hAnsi="微软雅黑" w:eastAsia="微软雅黑" w:cs="微软雅黑"/>
                      <w:color w:val="3E3E3E"/>
                      <w:sz w:val="18"/>
                      <w:szCs w:val="18"/>
                    </w:rPr>
                  </w:pPr>
                  <w:r>
                    <w:rPr>
                      <w:rFonts w:hint="eastAsia" w:ascii="微软雅黑" w:hAnsi="微软雅黑" w:eastAsia="微软雅黑" w:cs="微软雅黑"/>
                      <w:color w:val="3E3E3E"/>
                      <w:kern w:val="0"/>
                      <w:sz w:val="18"/>
                      <w:szCs w:val="18"/>
                      <w:bdr w:val="none" w:color="auto" w:sz="0" w:space="0"/>
                      <w:lang w:val="en-US" w:eastAsia="zh-CN" w:bidi="ar"/>
                    </w:rPr>
                    <w:t>经本单位审核后公开</w:t>
                  </w:r>
                </w:p>
              </w:tc>
            </w:tr>
          </w:tbl>
          <w:p>
            <w:pPr>
              <w:spacing w:line="345" w:lineRule="atLeast"/>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151" w:hRule="atLeast"/>
          <w:tblCellSpacing w:w="0" w:type="dxa"/>
        </w:trPr>
        <w:tc>
          <w:tcPr>
            <w:tcW w:w="8306" w:type="dxa"/>
            <w:shd w:val="cle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blCellSpacing w:w="0" w:type="dxa"/>
        </w:trPr>
        <w:tc>
          <w:tcPr>
            <w:tcW w:w="8306" w:type="dxa"/>
            <w:shd w:val="clear"/>
            <w:tcMar>
              <w:bottom w:w="3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Fonts w:hint="eastAsia" w:ascii="宋体" w:hAnsi="宋体" w:eastAsia="宋体" w:cs="宋体"/>
                <w:sz w:val="18"/>
                <w:szCs w:val="18"/>
                <w:bdr w:val="none" w:color="auto" w:sz="0" w:space="0"/>
              </w:rPr>
              <w:t>眉府办发〔2018〕9号</w:t>
            </w:r>
          </w:p>
          <w:p>
            <w:pPr>
              <w:pStyle w:val="2"/>
              <w:keepNext w:val="0"/>
              <w:keepLines w:val="0"/>
              <w:widowControl/>
              <w:suppressLineNumbers w:val="0"/>
              <w:spacing w:line="360" w:lineRule="auto"/>
            </w:pPr>
            <w:r>
              <w:rPr>
                <w:rFonts w:hint="eastAsia" w:ascii="宋体" w:hAnsi="宋体" w:eastAsia="宋体" w:cs="宋体"/>
                <w:sz w:val="18"/>
                <w:szCs w:val="18"/>
              </w:rPr>
              <w:t>各县（区）人民政府，市级有关部门（单位）：</w:t>
            </w:r>
          </w:p>
          <w:p>
            <w:pPr>
              <w:pStyle w:val="2"/>
              <w:keepNext w:val="0"/>
              <w:keepLines w:val="0"/>
              <w:widowControl/>
              <w:suppressLineNumbers w:val="0"/>
              <w:spacing w:line="360" w:lineRule="auto"/>
            </w:pPr>
            <w:r>
              <w:rPr>
                <w:rFonts w:hint="eastAsia" w:ascii="宋体" w:hAnsi="宋体" w:eastAsia="宋体" w:cs="宋体"/>
                <w:sz w:val="18"/>
                <w:szCs w:val="18"/>
              </w:rPr>
              <w:t>《眉山市高层次人才分类认定办法（试行）》《眉山市高层次人才安居保障实施办法（试行）》《天府眉山高端人才项目资助实施办法（试行）》已经市第四届政府40次常务会议审议通过，现印发你们，请结合实际认真组织实施。</w:t>
            </w:r>
          </w:p>
          <w:p>
            <w:pPr>
              <w:pStyle w:val="2"/>
              <w:keepNext w:val="0"/>
              <w:keepLines w:val="0"/>
              <w:widowControl/>
              <w:suppressLineNumbers w:val="0"/>
              <w:spacing w:line="360" w:lineRule="auto"/>
            </w:pPr>
            <w:r>
              <w:rPr>
                <w:rFonts w:hint="eastAsia" w:ascii="宋体" w:hAnsi="宋体" w:eastAsia="宋体" w:cs="宋体"/>
                <w:sz w:val="18"/>
                <w:szCs w:val="18"/>
              </w:rPr>
              <w:t>眉山市人民政府办公室</w:t>
            </w:r>
          </w:p>
          <w:p>
            <w:pPr>
              <w:pStyle w:val="2"/>
              <w:keepNext w:val="0"/>
              <w:keepLines w:val="0"/>
              <w:widowControl/>
              <w:suppressLineNumbers w:val="0"/>
              <w:spacing w:line="360" w:lineRule="auto"/>
            </w:pPr>
            <w:r>
              <w:rPr>
                <w:rFonts w:hint="eastAsia" w:ascii="宋体" w:hAnsi="宋体" w:eastAsia="宋体" w:cs="宋体"/>
                <w:sz w:val="18"/>
                <w:szCs w:val="18"/>
              </w:rPr>
              <w:t>2018年4月18日</w:t>
            </w:r>
          </w:p>
          <w:p>
            <w:pPr>
              <w:pStyle w:val="2"/>
              <w:keepNext w:val="0"/>
              <w:keepLines w:val="0"/>
              <w:widowControl/>
              <w:suppressLineNumbers w:val="0"/>
              <w:spacing w:line="360" w:lineRule="auto"/>
            </w:pPr>
            <w:r>
              <w:rPr>
                <w:rFonts w:hint="eastAsia" w:ascii="宋体" w:hAnsi="宋体" w:eastAsia="宋体" w:cs="宋体"/>
                <w:sz w:val="18"/>
                <w:szCs w:val="18"/>
              </w:rPr>
              <w:t>眉山市高层次人才分类认定办法（试行）</w:t>
            </w:r>
          </w:p>
          <w:p>
            <w:pPr>
              <w:pStyle w:val="2"/>
              <w:keepNext w:val="0"/>
              <w:keepLines w:val="0"/>
              <w:widowControl/>
              <w:suppressLineNumbers w:val="0"/>
              <w:spacing w:line="360" w:lineRule="auto"/>
            </w:pPr>
            <w:r>
              <w:rPr>
                <w:rFonts w:hint="eastAsia" w:ascii="宋体" w:hAnsi="宋体" w:eastAsia="宋体" w:cs="宋体"/>
                <w:sz w:val="18"/>
                <w:szCs w:val="18"/>
              </w:rPr>
              <w:t>第一章总则</w:t>
            </w:r>
          </w:p>
          <w:p>
            <w:pPr>
              <w:pStyle w:val="2"/>
              <w:keepNext w:val="0"/>
              <w:keepLines w:val="0"/>
              <w:widowControl/>
              <w:suppressLineNumbers w:val="0"/>
              <w:spacing w:line="360" w:lineRule="auto"/>
            </w:pPr>
            <w:r>
              <w:rPr>
                <w:rFonts w:hint="eastAsia" w:ascii="宋体" w:hAnsi="宋体" w:eastAsia="宋体" w:cs="宋体"/>
                <w:sz w:val="18"/>
                <w:szCs w:val="18"/>
              </w:rPr>
              <w:t>第一条为进一步优化人才管理服务，营造礼敬人才、厚待人才、激励人才、服务人才的良好环境，促进更多优秀人才集聚眉山，厚植建设繁荣富裕美好眉山人才支撑，结合我市实际制定本办法。</w:t>
            </w:r>
          </w:p>
          <w:p>
            <w:pPr>
              <w:pStyle w:val="2"/>
              <w:keepNext w:val="0"/>
              <w:keepLines w:val="0"/>
              <w:widowControl/>
              <w:suppressLineNumbers w:val="0"/>
              <w:spacing w:line="360" w:lineRule="auto"/>
            </w:pPr>
            <w:r>
              <w:rPr>
                <w:rFonts w:hint="eastAsia" w:ascii="宋体" w:hAnsi="宋体" w:eastAsia="宋体" w:cs="宋体"/>
                <w:sz w:val="18"/>
                <w:szCs w:val="18"/>
              </w:rPr>
              <w:t>第二条本办法适用于在眉创新创业顶尖人才、杰出人才、领军人才、菁英人才和创新人才。</w:t>
            </w:r>
          </w:p>
          <w:p>
            <w:pPr>
              <w:pStyle w:val="2"/>
              <w:keepNext w:val="0"/>
              <w:keepLines w:val="0"/>
              <w:widowControl/>
              <w:suppressLineNumbers w:val="0"/>
              <w:spacing w:line="360" w:lineRule="auto"/>
            </w:pPr>
            <w:r>
              <w:rPr>
                <w:rFonts w:hint="eastAsia" w:ascii="宋体" w:hAnsi="宋体" w:eastAsia="宋体" w:cs="宋体"/>
                <w:sz w:val="18"/>
                <w:szCs w:val="18"/>
              </w:rPr>
              <w:t>第二章分类标准</w:t>
            </w:r>
          </w:p>
          <w:p>
            <w:pPr>
              <w:pStyle w:val="2"/>
              <w:keepNext w:val="0"/>
              <w:keepLines w:val="0"/>
              <w:widowControl/>
              <w:suppressLineNumbers w:val="0"/>
              <w:spacing w:line="360" w:lineRule="auto"/>
            </w:pPr>
            <w:r>
              <w:rPr>
                <w:rFonts w:hint="eastAsia" w:ascii="宋体" w:hAnsi="宋体" w:eastAsia="宋体" w:cs="宋体"/>
                <w:sz w:val="18"/>
                <w:szCs w:val="18"/>
              </w:rPr>
              <w:t>第三条顶尖人才。</w:t>
            </w:r>
          </w:p>
          <w:p>
            <w:pPr>
              <w:pStyle w:val="2"/>
              <w:keepNext w:val="0"/>
              <w:keepLines w:val="0"/>
              <w:widowControl/>
              <w:suppressLineNumbers w:val="0"/>
              <w:spacing w:line="360" w:lineRule="auto"/>
            </w:pPr>
            <w:r>
              <w:rPr>
                <w:rFonts w:hint="eastAsia" w:ascii="宋体" w:hAnsi="宋体" w:eastAsia="宋体" w:cs="宋体"/>
                <w:sz w:val="18"/>
                <w:szCs w:val="18"/>
              </w:rPr>
              <w:t>（一）中国科学院、中国工程院院士（含外籍院士）；</w:t>
            </w:r>
          </w:p>
          <w:p>
            <w:pPr>
              <w:pStyle w:val="2"/>
              <w:keepNext w:val="0"/>
              <w:keepLines w:val="0"/>
              <w:widowControl/>
              <w:suppressLineNumbers w:val="0"/>
              <w:spacing w:line="360" w:lineRule="auto"/>
            </w:pPr>
            <w:r>
              <w:rPr>
                <w:rFonts w:hint="eastAsia" w:ascii="宋体" w:hAnsi="宋体" w:eastAsia="宋体" w:cs="宋体"/>
                <w:sz w:val="18"/>
                <w:szCs w:val="18"/>
              </w:rPr>
              <w:t>（二）发达国家相同层次的院士；</w:t>
            </w:r>
          </w:p>
          <w:p>
            <w:pPr>
              <w:pStyle w:val="2"/>
              <w:keepNext w:val="0"/>
              <w:keepLines w:val="0"/>
              <w:widowControl/>
              <w:suppressLineNumbers w:val="0"/>
              <w:spacing w:line="360" w:lineRule="auto"/>
            </w:pPr>
            <w:r>
              <w:rPr>
                <w:rFonts w:hint="eastAsia" w:ascii="宋体" w:hAnsi="宋体" w:eastAsia="宋体" w:cs="宋体"/>
                <w:sz w:val="18"/>
                <w:szCs w:val="18"/>
              </w:rPr>
              <w:t>（三）国家自然科学奖（一等奖）、国家技术发明奖（一等奖）、国家科学技术进步奖（一等奖、特等奖）获得者第一主研人员。</w:t>
            </w:r>
          </w:p>
          <w:p>
            <w:pPr>
              <w:pStyle w:val="2"/>
              <w:keepNext w:val="0"/>
              <w:keepLines w:val="0"/>
              <w:widowControl/>
              <w:suppressLineNumbers w:val="0"/>
              <w:spacing w:line="360" w:lineRule="auto"/>
            </w:pPr>
            <w:r>
              <w:rPr>
                <w:rFonts w:hint="eastAsia" w:ascii="宋体" w:hAnsi="宋体" w:eastAsia="宋体" w:cs="宋体"/>
                <w:sz w:val="18"/>
                <w:szCs w:val="18"/>
              </w:rPr>
              <w:t>第四条杰出人才。</w:t>
            </w:r>
          </w:p>
          <w:p>
            <w:pPr>
              <w:pStyle w:val="2"/>
              <w:keepNext w:val="0"/>
              <w:keepLines w:val="0"/>
              <w:widowControl/>
              <w:suppressLineNumbers w:val="0"/>
              <w:spacing w:line="360" w:lineRule="auto"/>
            </w:pPr>
            <w:r>
              <w:rPr>
                <w:rFonts w:hint="eastAsia" w:ascii="宋体" w:hAnsi="宋体" w:eastAsia="宋体" w:cs="宋体"/>
                <w:sz w:val="18"/>
                <w:szCs w:val="18"/>
              </w:rPr>
              <w:t>（一）国家自然科学奖、国家技术发明奖、国家科学技术进步奖二等奖及以上获得者前三名；</w:t>
            </w:r>
          </w:p>
          <w:p>
            <w:pPr>
              <w:pStyle w:val="2"/>
              <w:keepNext w:val="0"/>
              <w:keepLines w:val="0"/>
              <w:widowControl/>
              <w:suppressLineNumbers w:val="0"/>
              <w:spacing w:line="360" w:lineRule="auto"/>
            </w:pPr>
            <w:r>
              <w:rPr>
                <w:rFonts w:hint="eastAsia" w:ascii="宋体" w:hAnsi="宋体" w:eastAsia="宋体" w:cs="宋体"/>
                <w:sz w:val="18"/>
                <w:szCs w:val="18"/>
              </w:rPr>
              <w:t>（二）国家“千人计划”“万人计划”入选者；</w:t>
            </w:r>
          </w:p>
          <w:p>
            <w:pPr>
              <w:pStyle w:val="2"/>
              <w:keepNext w:val="0"/>
              <w:keepLines w:val="0"/>
              <w:widowControl/>
              <w:suppressLineNumbers w:val="0"/>
              <w:spacing w:line="360" w:lineRule="auto"/>
            </w:pPr>
            <w:r>
              <w:rPr>
                <w:rFonts w:hint="eastAsia" w:ascii="宋体" w:hAnsi="宋体" w:eastAsia="宋体" w:cs="宋体"/>
                <w:sz w:val="18"/>
                <w:szCs w:val="18"/>
              </w:rPr>
              <w:t>（三）全国杰出专业技术人才获得者、国家杰出青年科学基金获得者、百千万人才工程国家级人选、“长江学者”奖励计划特聘教授和讲座教授；</w:t>
            </w:r>
          </w:p>
          <w:p>
            <w:pPr>
              <w:pStyle w:val="2"/>
              <w:keepNext w:val="0"/>
              <w:keepLines w:val="0"/>
              <w:widowControl/>
              <w:suppressLineNumbers w:val="0"/>
              <w:spacing w:line="360" w:lineRule="auto"/>
            </w:pPr>
            <w:r>
              <w:rPr>
                <w:rFonts w:hint="eastAsia" w:ascii="宋体" w:hAnsi="宋体" w:eastAsia="宋体" w:cs="宋体"/>
                <w:sz w:val="18"/>
                <w:szCs w:val="18"/>
              </w:rPr>
              <w:t>（四）国家自然科学基金、国家科技重大专项、国家重点研发计划、技术创新引导专项（基金）、基地和人才专项等五类科技计划项目主持人，国家哲学社会科学基金重大项目主持人（含原“863”项目首席专家、“973”项目首席科学家）；</w:t>
            </w:r>
          </w:p>
          <w:p>
            <w:pPr>
              <w:pStyle w:val="2"/>
              <w:keepNext w:val="0"/>
              <w:keepLines w:val="0"/>
              <w:widowControl/>
              <w:suppressLineNumbers w:val="0"/>
              <w:spacing w:line="360" w:lineRule="auto"/>
            </w:pPr>
            <w:r>
              <w:rPr>
                <w:rFonts w:hint="eastAsia" w:ascii="宋体" w:hAnsi="宋体" w:eastAsia="宋体" w:cs="宋体"/>
                <w:sz w:val="18"/>
                <w:szCs w:val="18"/>
              </w:rPr>
              <w:t>（五）“中华人民共和国友谊奖”获得者；</w:t>
            </w:r>
          </w:p>
          <w:p>
            <w:pPr>
              <w:pStyle w:val="2"/>
              <w:keepNext w:val="0"/>
              <w:keepLines w:val="0"/>
              <w:widowControl/>
              <w:suppressLineNumbers w:val="0"/>
              <w:spacing w:line="360" w:lineRule="auto"/>
            </w:pPr>
            <w:r>
              <w:rPr>
                <w:rFonts w:hint="eastAsia" w:ascii="宋体" w:hAnsi="宋体" w:eastAsia="宋体" w:cs="宋体"/>
                <w:sz w:val="18"/>
                <w:szCs w:val="18"/>
              </w:rPr>
              <w:t>（六）四川省科学技术杰出贡献奖获得者；</w:t>
            </w:r>
          </w:p>
          <w:p>
            <w:pPr>
              <w:pStyle w:val="2"/>
              <w:keepNext w:val="0"/>
              <w:keepLines w:val="0"/>
              <w:widowControl/>
              <w:suppressLineNumbers w:val="0"/>
              <w:spacing w:line="360" w:lineRule="auto"/>
            </w:pPr>
            <w:r>
              <w:rPr>
                <w:rFonts w:hint="eastAsia" w:ascii="宋体" w:hAnsi="宋体" w:eastAsia="宋体" w:cs="宋体"/>
                <w:sz w:val="18"/>
                <w:szCs w:val="18"/>
              </w:rPr>
              <w:t>（七）其他相当于本层次的高层次人才。</w:t>
            </w:r>
          </w:p>
          <w:p>
            <w:pPr>
              <w:pStyle w:val="2"/>
              <w:keepNext w:val="0"/>
              <w:keepLines w:val="0"/>
              <w:widowControl/>
              <w:suppressLineNumbers w:val="0"/>
              <w:spacing w:line="360" w:lineRule="auto"/>
            </w:pPr>
            <w:r>
              <w:rPr>
                <w:rFonts w:hint="eastAsia" w:ascii="宋体" w:hAnsi="宋体" w:eastAsia="宋体" w:cs="宋体"/>
                <w:sz w:val="18"/>
                <w:szCs w:val="18"/>
              </w:rPr>
              <w:t>第五条领军人才。</w:t>
            </w:r>
          </w:p>
          <w:p>
            <w:pPr>
              <w:pStyle w:val="2"/>
              <w:keepNext w:val="0"/>
              <w:keepLines w:val="0"/>
              <w:widowControl/>
              <w:suppressLineNumbers w:val="0"/>
              <w:spacing w:line="360" w:lineRule="auto"/>
            </w:pPr>
            <w:r>
              <w:rPr>
                <w:rFonts w:hint="eastAsia" w:ascii="宋体" w:hAnsi="宋体" w:eastAsia="宋体" w:cs="宋体"/>
                <w:sz w:val="18"/>
                <w:szCs w:val="18"/>
              </w:rPr>
              <w:t>（一）省部级科技奖一等奖获得者主持人；</w:t>
            </w:r>
          </w:p>
          <w:p>
            <w:pPr>
              <w:pStyle w:val="2"/>
              <w:keepNext w:val="0"/>
              <w:keepLines w:val="0"/>
              <w:widowControl/>
              <w:suppressLineNumbers w:val="0"/>
              <w:spacing w:line="360" w:lineRule="auto"/>
            </w:pPr>
            <w:r>
              <w:rPr>
                <w:rFonts w:hint="eastAsia" w:ascii="宋体" w:hAnsi="宋体" w:eastAsia="宋体" w:cs="宋体"/>
                <w:sz w:val="18"/>
                <w:szCs w:val="18"/>
              </w:rPr>
              <w:t>（二）享受国务院政府特殊津贴人员；</w:t>
            </w:r>
          </w:p>
          <w:p>
            <w:pPr>
              <w:pStyle w:val="2"/>
              <w:keepNext w:val="0"/>
              <w:keepLines w:val="0"/>
              <w:widowControl/>
              <w:suppressLineNumbers w:val="0"/>
              <w:spacing w:line="360" w:lineRule="auto"/>
            </w:pPr>
            <w:r>
              <w:rPr>
                <w:rFonts w:hint="eastAsia" w:ascii="宋体" w:hAnsi="宋体" w:eastAsia="宋体" w:cs="宋体"/>
                <w:sz w:val="18"/>
                <w:szCs w:val="18"/>
              </w:rPr>
              <w:t>（三）省部级高层次人才引进计划入选者（含国家外专“千人计划”、省“千人计划”和原“百人计划”入选者）；</w:t>
            </w:r>
          </w:p>
          <w:p>
            <w:pPr>
              <w:pStyle w:val="2"/>
              <w:keepNext w:val="0"/>
              <w:keepLines w:val="0"/>
              <w:widowControl/>
              <w:suppressLineNumbers w:val="0"/>
              <w:spacing w:line="360" w:lineRule="auto"/>
            </w:pPr>
            <w:r>
              <w:rPr>
                <w:rFonts w:hint="eastAsia" w:ascii="宋体" w:hAnsi="宋体" w:eastAsia="宋体" w:cs="宋体"/>
                <w:sz w:val="18"/>
                <w:szCs w:val="18"/>
              </w:rPr>
              <w:t>（四）国家重点（工程）实验室、国家工程（技术）研究中心主要负责人；</w:t>
            </w:r>
          </w:p>
          <w:p>
            <w:pPr>
              <w:pStyle w:val="2"/>
              <w:keepNext w:val="0"/>
              <w:keepLines w:val="0"/>
              <w:widowControl/>
              <w:suppressLineNumbers w:val="0"/>
              <w:spacing w:line="360" w:lineRule="auto"/>
            </w:pPr>
            <w:r>
              <w:rPr>
                <w:rFonts w:hint="eastAsia" w:ascii="宋体" w:hAnsi="宋体" w:eastAsia="宋体" w:cs="宋体"/>
                <w:sz w:val="18"/>
                <w:szCs w:val="18"/>
              </w:rPr>
              <w:t>（五）国家自然科学基金、国家哲学社会科学基金重点项目主持人；</w:t>
            </w:r>
          </w:p>
          <w:p>
            <w:pPr>
              <w:pStyle w:val="2"/>
              <w:keepNext w:val="0"/>
              <w:keepLines w:val="0"/>
              <w:widowControl/>
              <w:suppressLineNumbers w:val="0"/>
              <w:spacing w:line="360" w:lineRule="auto"/>
            </w:pPr>
            <w:r>
              <w:rPr>
                <w:rFonts w:hint="eastAsia" w:ascii="宋体" w:hAnsi="宋体" w:eastAsia="宋体" w:cs="宋体"/>
                <w:sz w:val="18"/>
                <w:szCs w:val="18"/>
              </w:rPr>
              <w:t>（六）“天府友谊奖”获得者；</w:t>
            </w:r>
          </w:p>
          <w:p>
            <w:pPr>
              <w:pStyle w:val="2"/>
              <w:keepNext w:val="0"/>
              <w:keepLines w:val="0"/>
              <w:widowControl/>
              <w:suppressLineNumbers w:val="0"/>
              <w:spacing w:line="360" w:lineRule="auto"/>
            </w:pPr>
            <w:r>
              <w:rPr>
                <w:rFonts w:hint="eastAsia" w:ascii="宋体" w:hAnsi="宋体" w:eastAsia="宋体" w:cs="宋体"/>
                <w:sz w:val="18"/>
                <w:szCs w:val="18"/>
              </w:rPr>
              <w:t>（七）省部级学术技术带头人、有突出贡献优秀专家、创新型企业家；</w:t>
            </w:r>
          </w:p>
          <w:p>
            <w:pPr>
              <w:pStyle w:val="2"/>
              <w:keepNext w:val="0"/>
              <w:keepLines w:val="0"/>
              <w:widowControl/>
              <w:suppressLineNumbers w:val="0"/>
              <w:spacing w:line="360" w:lineRule="auto"/>
            </w:pPr>
            <w:r>
              <w:rPr>
                <w:rFonts w:hint="eastAsia" w:ascii="宋体" w:hAnsi="宋体" w:eastAsia="宋体" w:cs="宋体"/>
                <w:sz w:val="18"/>
                <w:szCs w:val="18"/>
              </w:rPr>
              <w:t>（八）中华技能大奖获得者、全国技术能手、国家级技能大师工作室领办人；</w:t>
            </w:r>
          </w:p>
          <w:p>
            <w:pPr>
              <w:pStyle w:val="2"/>
              <w:keepNext w:val="0"/>
              <w:keepLines w:val="0"/>
              <w:widowControl/>
              <w:suppressLineNumbers w:val="0"/>
              <w:spacing w:line="360" w:lineRule="auto"/>
            </w:pPr>
            <w:r>
              <w:rPr>
                <w:rFonts w:hint="eastAsia" w:ascii="宋体" w:hAnsi="宋体" w:eastAsia="宋体" w:cs="宋体"/>
                <w:sz w:val="18"/>
                <w:szCs w:val="18"/>
              </w:rPr>
              <w:t>（九）其他相当于本层次的高层次人才。</w:t>
            </w:r>
          </w:p>
          <w:p>
            <w:pPr>
              <w:pStyle w:val="2"/>
              <w:keepNext w:val="0"/>
              <w:keepLines w:val="0"/>
              <w:widowControl/>
              <w:suppressLineNumbers w:val="0"/>
              <w:spacing w:line="360" w:lineRule="auto"/>
            </w:pPr>
            <w:r>
              <w:rPr>
                <w:rFonts w:hint="eastAsia" w:ascii="宋体" w:hAnsi="宋体" w:eastAsia="宋体" w:cs="宋体"/>
                <w:sz w:val="18"/>
                <w:szCs w:val="18"/>
              </w:rPr>
              <w:t>第六条菁英人才。</w:t>
            </w:r>
          </w:p>
          <w:p>
            <w:pPr>
              <w:pStyle w:val="2"/>
              <w:keepNext w:val="0"/>
              <w:keepLines w:val="0"/>
              <w:widowControl/>
              <w:suppressLineNumbers w:val="0"/>
              <w:spacing w:line="360" w:lineRule="auto"/>
            </w:pPr>
            <w:r>
              <w:rPr>
                <w:rFonts w:hint="eastAsia" w:ascii="宋体" w:hAnsi="宋体" w:eastAsia="宋体" w:cs="宋体"/>
                <w:sz w:val="18"/>
                <w:szCs w:val="18"/>
              </w:rPr>
              <w:t>（一）全日制博士研究生；</w:t>
            </w:r>
          </w:p>
          <w:p>
            <w:pPr>
              <w:pStyle w:val="2"/>
              <w:keepNext w:val="0"/>
              <w:keepLines w:val="0"/>
              <w:widowControl/>
              <w:suppressLineNumbers w:val="0"/>
              <w:spacing w:line="360" w:lineRule="auto"/>
            </w:pPr>
            <w:r>
              <w:rPr>
                <w:rFonts w:hint="eastAsia" w:ascii="宋体" w:hAnsi="宋体" w:eastAsia="宋体" w:cs="宋体"/>
                <w:sz w:val="18"/>
                <w:szCs w:val="18"/>
              </w:rPr>
              <w:t>（二）具有正高级职称的专业技术人才；</w:t>
            </w:r>
          </w:p>
          <w:p>
            <w:pPr>
              <w:pStyle w:val="2"/>
              <w:keepNext w:val="0"/>
              <w:keepLines w:val="0"/>
              <w:widowControl/>
              <w:suppressLineNumbers w:val="0"/>
              <w:spacing w:line="360" w:lineRule="auto"/>
            </w:pPr>
            <w:r>
              <w:rPr>
                <w:rFonts w:hint="eastAsia" w:ascii="宋体" w:hAnsi="宋体" w:eastAsia="宋体" w:cs="宋体"/>
                <w:sz w:val="18"/>
                <w:szCs w:val="18"/>
              </w:rPr>
              <w:t>（三）省学术技术带头人后备人选；</w:t>
            </w:r>
          </w:p>
          <w:p>
            <w:pPr>
              <w:pStyle w:val="2"/>
              <w:keepNext w:val="0"/>
              <w:keepLines w:val="0"/>
              <w:widowControl/>
              <w:suppressLineNumbers w:val="0"/>
              <w:spacing w:line="360" w:lineRule="auto"/>
            </w:pPr>
            <w:r>
              <w:rPr>
                <w:rFonts w:hint="eastAsia" w:ascii="宋体" w:hAnsi="宋体" w:eastAsia="宋体" w:cs="宋体"/>
                <w:sz w:val="18"/>
                <w:szCs w:val="18"/>
              </w:rPr>
              <w:t>（四）省级技能大师工作室领办人，省级技术能手；</w:t>
            </w:r>
          </w:p>
          <w:p>
            <w:pPr>
              <w:pStyle w:val="2"/>
              <w:keepNext w:val="0"/>
              <w:keepLines w:val="0"/>
              <w:widowControl/>
              <w:suppressLineNumbers w:val="0"/>
              <w:spacing w:line="360" w:lineRule="auto"/>
            </w:pPr>
            <w:r>
              <w:rPr>
                <w:rFonts w:hint="eastAsia" w:ascii="宋体" w:hAnsi="宋体" w:eastAsia="宋体" w:cs="宋体"/>
                <w:sz w:val="18"/>
                <w:szCs w:val="18"/>
              </w:rPr>
              <w:t>（五）省特级教师，市有突出贡献的教育专家；</w:t>
            </w:r>
          </w:p>
          <w:p>
            <w:pPr>
              <w:pStyle w:val="2"/>
              <w:keepNext w:val="0"/>
              <w:keepLines w:val="0"/>
              <w:widowControl/>
              <w:suppressLineNumbers w:val="0"/>
              <w:spacing w:line="360" w:lineRule="auto"/>
            </w:pPr>
            <w:r>
              <w:rPr>
                <w:rFonts w:hint="eastAsia" w:ascii="宋体" w:hAnsi="宋体" w:eastAsia="宋体" w:cs="宋体"/>
                <w:sz w:val="18"/>
                <w:szCs w:val="18"/>
              </w:rPr>
              <w:t>（六）国内重点骨干企业任职的高级经营管理人才；</w:t>
            </w:r>
          </w:p>
          <w:p>
            <w:pPr>
              <w:pStyle w:val="2"/>
              <w:keepNext w:val="0"/>
              <w:keepLines w:val="0"/>
              <w:widowControl/>
              <w:suppressLineNumbers w:val="0"/>
              <w:spacing w:line="360" w:lineRule="auto"/>
            </w:pPr>
            <w:r>
              <w:rPr>
                <w:rFonts w:hint="eastAsia" w:ascii="宋体" w:hAnsi="宋体" w:eastAsia="宋体" w:cs="宋体"/>
                <w:sz w:val="18"/>
                <w:szCs w:val="18"/>
              </w:rPr>
              <w:t>（七）其他相当于本层次的高层次人才。</w:t>
            </w:r>
          </w:p>
          <w:p>
            <w:pPr>
              <w:pStyle w:val="2"/>
              <w:keepNext w:val="0"/>
              <w:keepLines w:val="0"/>
              <w:widowControl/>
              <w:suppressLineNumbers w:val="0"/>
              <w:spacing w:line="360" w:lineRule="auto"/>
            </w:pPr>
            <w:r>
              <w:rPr>
                <w:rFonts w:hint="eastAsia" w:ascii="宋体" w:hAnsi="宋体" w:eastAsia="宋体" w:cs="宋体"/>
                <w:sz w:val="18"/>
                <w:szCs w:val="18"/>
              </w:rPr>
              <w:t>第七条创新人才。</w:t>
            </w:r>
          </w:p>
          <w:p>
            <w:pPr>
              <w:pStyle w:val="2"/>
              <w:keepNext w:val="0"/>
              <w:keepLines w:val="0"/>
              <w:widowControl/>
              <w:suppressLineNumbers w:val="0"/>
              <w:spacing w:line="360" w:lineRule="auto"/>
            </w:pPr>
            <w:r>
              <w:rPr>
                <w:rFonts w:hint="eastAsia" w:ascii="宋体" w:hAnsi="宋体" w:eastAsia="宋体" w:cs="宋体"/>
                <w:sz w:val="18"/>
                <w:szCs w:val="18"/>
              </w:rPr>
              <w:t>（一）我市急需紧缺专业的全日制高校硕士研究生或副高级专业技术人才；</w:t>
            </w:r>
          </w:p>
          <w:p>
            <w:pPr>
              <w:pStyle w:val="2"/>
              <w:keepNext w:val="0"/>
              <w:keepLines w:val="0"/>
              <w:widowControl/>
              <w:suppressLineNumbers w:val="0"/>
              <w:spacing w:line="360" w:lineRule="auto"/>
            </w:pPr>
            <w:r>
              <w:rPr>
                <w:rFonts w:hint="eastAsia" w:ascii="宋体" w:hAnsi="宋体" w:eastAsia="宋体" w:cs="宋体"/>
                <w:sz w:val="18"/>
                <w:szCs w:val="18"/>
              </w:rPr>
              <w:t>（二）市级杰出人才、技能大师工作室领办人；</w:t>
            </w:r>
          </w:p>
          <w:p>
            <w:pPr>
              <w:pStyle w:val="2"/>
              <w:keepNext w:val="0"/>
              <w:keepLines w:val="0"/>
              <w:widowControl/>
              <w:suppressLineNumbers w:val="0"/>
              <w:spacing w:line="360" w:lineRule="auto"/>
            </w:pPr>
            <w:r>
              <w:rPr>
                <w:rFonts w:hint="eastAsia" w:ascii="宋体" w:hAnsi="宋体" w:eastAsia="宋体" w:cs="宋体"/>
                <w:sz w:val="18"/>
                <w:szCs w:val="18"/>
              </w:rPr>
              <w:t>（三）其他相当于本层次的高层次人才。</w:t>
            </w:r>
          </w:p>
          <w:p>
            <w:pPr>
              <w:pStyle w:val="2"/>
              <w:keepNext w:val="0"/>
              <w:keepLines w:val="0"/>
              <w:widowControl/>
              <w:suppressLineNumbers w:val="0"/>
              <w:spacing w:line="360" w:lineRule="auto"/>
            </w:pPr>
            <w:r>
              <w:rPr>
                <w:rFonts w:hint="eastAsia" w:ascii="宋体" w:hAnsi="宋体" w:eastAsia="宋体" w:cs="宋体"/>
                <w:sz w:val="18"/>
                <w:szCs w:val="18"/>
              </w:rPr>
              <w:t>第八条第三条至第七条所述计划、工程、项目及奖项、荣誉称号获得者，原则上应尚在建设周期或管理期间。</w:t>
            </w:r>
          </w:p>
          <w:p>
            <w:pPr>
              <w:pStyle w:val="2"/>
              <w:keepNext w:val="0"/>
              <w:keepLines w:val="0"/>
              <w:widowControl/>
              <w:suppressLineNumbers w:val="0"/>
              <w:spacing w:line="360" w:lineRule="auto"/>
            </w:pPr>
            <w:r>
              <w:rPr>
                <w:rFonts w:hint="eastAsia" w:ascii="宋体" w:hAnsi="宋体" w:eastAsia="宋体" w:cs="宋体"/>
                <w:sz w:val="18"/>
                <w:szCs w:val="18"/>
              </w:rPr>
              <w:t>第三章申报与认定</w:t>
            </w:r>
          </w:p>
          <w:p>
            <w:pPr>
              <w:pStyle w:val="2"/>
              <w:keepNext w:val="0"/>
              <w:keepLines w:val="0"/>
              <w:widowControl/>
              <w:suppressLineNumbers w:val="0"/>
              <w:spacing w:line="360" w:lineRule="auto"/>
            </w:pPr>
            <w:r>
              <w:rPr>
                <w:rFonts w:hint="eastAsia" w:ascii="宋体" w:hAnsi="宋体" w:eastAsia="宋体" w:cs="宋体"/>
                <w:sz w:val="18"/>
                <w:szCs w:val="18"/>
              </w:rPr>
              <w:t>第九条申报组织。每年初由市人才办会同市人力资源社会保障局、市经济和信息化委，分析编制急需紧缺专业岗位目录，组织各用人单位申报需要认定的人选。</w:t>
            </w:r>
          </w:p>
          <w:p>
            <w:pPr>
              <w:pStyle w:val="2"/>
              <w:keepNext w:val="0"/>
              <w:keepLines w:val="0"/>
              <w:widowControl/>
              <w:suppressLineNumbers w:val="0"/>
              <w:spacing w:line="360" w:lineRule="auto"/>
            </w:pPr>
            <w:r>
              <w:rPr>
                <w:rFonts w:hint="eastAsia" w:ascii="宋体" w:hAnsi="宋体" w:eastAsia="宋体" w:cs="宋体"/>
                <w:sz w:val="18"/>
                <w:szCs w:val="18"/>
              </w:rPr>
              <w:t>第十条申报程序。</w:t>
            </w:r>
          </w:p>
          <w:p>
            <w:pPr>
              <w:pStyle w:val="2"/>
              <w:keepNext w:val="0"/>
              <w:keepLines w:val="0"/>
              <w:widowControl/>
              <w:suppressLineNumbers w:val="0"/>
              <w:spacing w:line="360" w:lineRule="auto"/>
            </w:pPr>
            <w:r>
              <w:rPr>
                <w:rFonts w:hint="eastAsia" w:ascii="宋体" w:hAnsi="宋体" w:eastAsia="宋体" w:cs="宋体"/>
                <w:sz w:val="18"/>
                <w:szCs w:val="18"/>
              </w:rPr>
              <w:t>（一）本人填写申请表，交验相关证书、证明材料原件和复印件；</w:t>
            </w:r>
          </w:p>
          <w:p>
            <w:pPr>
              <w:pStyle w:val="2"/>
              <w:keepNext w:val="0"/>
              <w:keepLines w:val="0"/>
              <w:widowControl/>
              <w:suppressLineNumbers w:val="0"/>
              <w:spacing w:line="360" w:lineRule="auto"/>
            </w:pPr>
            <w:r>
              <w:rPr>
                <w:rFonts w:hint="eastAsia" w:ascii="宋体" w:hAnsi="宋体" w:eastAsia="宋体" w:cs="宋体"/>
                <w:sz w:val="18"/>
                <w:szCs w:val="18"/>
              </w:rPr>
              <w:t>（二）用人单位初核，在本单位公示五个工作日内，无异议后签署意见；</w:t>
            </w:r>
          </w:p>
          <w:p>
            <w:pPr>
              <w:pStyle w:val="2"/>
              <w:keepNext w:val="0"/>
              <w:keepLines w:val="0"/>
              <w:widowControl/>
              <w:suppressLineNumbers w:val="0"/>
              <w:spacing w:line="360" w:lineRule="auto"/>
            </w:pPr>
            <w:r>
              <w:rPr>
                <w:rFonts w:hint="eastAsia" w:ascii="宋体" w:hAnsi="宋体" w:eastAsia="宋体" w:cs="宋体"/>
                <w:sz w:val="18"/>
                <w:szCs w:val="18"/>
              </w:rPr>
              <w:t>（三）主管部门复核并签署意见，报送市人才办。</w:t>
            </w:r>
          </w:p>
          <w:p>
            <w:pPr>
              <w:pStyle w:val="2"/>
              <w:keepNext w:val="0"/>
              <w:keepLines w:val="0"/>
              <w:widowControl/>
              <w:suppressLineNumbers w:val="0"/>
              <w:spacing w:line="360" w:lineRule="auto"/>
            </w:pPr>
            <w:r>
              <w:rPr>
                <w:rFonts w:hint="eastAsia" w:ascii="宋体" w:hAnsi="宋体" w:eastAsia="宋体" w:cs="宋体"/>
                <w:sz w:val="18"/>
                <w:szCs w:val="18"/>
              </w:rPr>
              <w:t>第十一条审查把关。市人才办、市人力资源社会保障局会同相关部门严格把关，提出审查意见。</w:t>
            </w:r>
          </w:p>
          <w:p>
            <w:pPr>
              <w:pStyle w:val="2"/>
              <w:keepNext w:val="0"/>
              <w:keepLines w:val="0"/>
              <w:widowControl/>
              <w:suppressLineNumbers w:val="0"/>
              <w:spacing w:line="360" w:lineRule="auto"/>
            </w:pPr>
            <w:r>
              <w:rPr>
                <w:rFonts w:hint="eastAsia" w:ascii="宋体" w:hAnsi="宋体" w:eastAsia="宋体" w:cs="宋体"/>
                <w:sz w:val="18"/>
                <w:szCs w:val="18"/>
              </w:rPr>
              <w:t>第十二条审核认定。市人才工作领导小组对人选审核认定，并发函至相关单位。</w:t>
            </w:r>
          </w:p>
          <w:p>
            <w:pPr>
              <w:pStyle w:val="2"/>
              <w:keepNext w:val="0"/>
              <w:keepLines w:val="0"/>
              <w:widowControl/>
              <w:suppressLineNumbers w:val="0"/>
              <w:spacing w:line="360" w:lineRule="auto"/>
            </w:pPr>
            <w:r>
              <w:rPr>
                <w:rFonts w:hint="eastAsia" w:ascii="宋体" w:hAnsi="宋体" w:eastAsia="宋体" w:cs="宋体"/>
                <w:sz w:val="18"/>
                <w:szCs w:val="18"/>
              </w:rPr>
              <w:t>第十三条建库管理。市人才办、市人力资源社会保障局会同相关部门建立眉山市高层次人才库，实行动态管理。</w:t>
            </w:r>
          </w:p>
          <w:p>
            <w:pPr>
              <w:pStyle w:val="2"/>
              <w:keepNext w:val="0"/>
              <w:keepLines w:val="0"/>
              <w:widowControl/>
              <w:suppressLineNumbers w:val="0"/>
              <w:spacing w:line="360" w:lineRule="auto"/>
            </w:pPr>
            <w:r>
              <w:rPr>
                <w:rFonts w:hint="eastAsia" w:ascii="宋体" w:hAnsi="宋体" w:eastAsia="宋体" w:cs="宋体"/>
                <w:sz w:val="18"/>
                <w:szCs w:val="18"/>
              </w:rPr>
              <w:t>第十四条责任追究。用人单位和申请人在申请人才类别认定时，严禁弄虚作假。对违反规定的，一经发现，取消认定，同时取消其享受的人才政策待遇，不再受理其申请。情节严重的，将依法追究单位和相关责任人的法律责任。</w:t>
            </w:r>
          </w:p>
          <w:p>
            <w:pPr>
              <w:pStyle w:val="2"/>
              <w:keepNext w:val="0"/>
              <w:keepLines w:val="0"/>
              <w:widowControl/>
              <w:suppressLineNumbers w:val="0"/>
              <w:spacing w:line="360" w:lineRule="auto"/>
            </w:pPr>
            <w:r>
              <w:rPr>
                <w:rFonts w:hint="eastAsia" w:ascii="宋体" w:hAnsi="宋体" w:eastAsia="宋体" w:cs="宋体"/>
                <w:sz w:val="18"/>
                <w:szCs w:val="18"/>
              </w:rPr>
              <w:t>第四章附则</w:t>
            </w:r>
          </w:p>
          <w:p>
            <w:pPr>
              <w:pStyle w:val="2"/>
              <w:keepNext w:val="0"/>
              <w:keepLines w:val="0"/>
              <w:widowControl/>
              <w:suppressLineNumbers w:val="0"/>
              <w:spacing w:line="360" w:lineRule="auto"/>
            </w:pPr>
            <w:r>
              <w:rPr>
                <w:rFonts w:hint="eastAsia" w:ascii="宋体" w:hAnsi="宋体" w:eastAsia="宋体" w:cs="宋体"/>
                <w:sz w:val="18"/>
                <w:szCs w:val="18"/>
              </w:rPr>
              <w:t>第十五条各县（区）可依据本办法，结合实际制定相应实施办法。</w:t>
            </w:r>
          </w:p>
          <w:p>
            <w:pPr>
              <w:pStyle w:val="2"/>
              <w:keepNext w:val="0"/>
              <w:keepLines w:val="0"/>
              <w:widowControl/>
              <w:suppressLineNumbers w:val="0"/>
              <w:spacing w:line="360" w:lineRule="auto"/>
            </w:pPr>
            <w:r>
              <w:rPr>
                <w:rFonts w:hint="eastAsia" w:ascii="宋体" w:hAnsi="宋体" w:eastAsia="宋体" w:cs="宋体"/>
                <w:sz w:val="18"/>
                <w:szCs w:val="18"/>
              </w:rPr>
              <w:t>第十六条本办法由市人才办会同市人力资源社会保障局和市级相关部门负责解释。此前有关规定与本办法不一致的，以本办法为准。</w:t>
            </w:r>
          </w:p>
          <w:p>
            <w:pPr>
              <w:pStyle w:val="2"/>
              <w:keepNext w:val="0"/>
              <w:keepLines w:val="0"/>
              <w:widowControl/>
              <w:suppressLineNumbers w:val="0"/>
              <w:spacing w:line="360" w:lineRule="auto"/>
            </w:pPr>
            <w:r>
              <w:rPr>
                <w:rFonts w:hint="eastAsia" w:ascii="宋体" w:hAnsi="宋体" w:eastAsia="宋体" w:cs="宋体"/>
                <w:sz w:val="18"/>
                <w:szCs w:val="18"/>
              </w:rPr>
              <w:t>第十七条本办法自印发之日起施行，有效期两年。</w:t>
            </w:r>
          </w:p>
          <w:p>
            <w:pPr>
              <w:pStyle w:val="2"/>
              <w:keepNext w:val="0"/>
              <w:keepLines w:val="0"/>
              <w:widowControl/>
              <w:suppressLineNumbers w:val="0"/>
              <w:spacing w:line="360" w:lineRule="auto"/>
            </w:pPr>
            <w:r>
              <w:rPr>
                <w:rFonts w:hint="eastAsia" w:ascii="宋体" w:hAnsi="宋体" w:eastAsia="宋体" w:cs="宋体"/>
                <w:sz w:val="18"/>
                <w:szCs w:val="18"/>
              </w:rPr>
              <w:t>附件：眉山市高层次人才认定申请表</w:t>
            </w:r>
          </w:p>
          <w:p>
            <w:pPr>
              <w:pStyle w:val="2"/>
              <w:keepNext w:val="0"/>
              <w:keepLines w:val="0"/>
              <w:widowControl/>
              <w:suppressLineNumbers w:val="0"/>
              <w:spacing w:line="360" w:lineRule="auto"/>
            </w:pPr>
            <w:r>
              <w:rPr>
                <w:rFonts w:hint="eastAsia" w:ascii="宋体" w:hAnsi="宋体" w:eastAsia="宋体" w:cs="宋体"/>
                <w:sz w:val="18"/>
                <w:szCs w:val="18"/>
              </w:rPr>
              <w:t>附件</w:t>
            </w:r>
          </w:p>
          <w:p>
            <w:pPr>
              <w:pStyle w:val="2"/>
              <w:keepNext w:val="0"/>
              <w:keepLines w:val="0"/>
              <w:widowControl/>
              <w:suppressLineNumbers w:val="0"/>
              <w:spacing w:line="360" w:lineRule="auto"/>
            </w:pPr>
            <w:r>
              <w:rPr>
                <w:rFonts w:hint="eastAsia" w:ascii="宋体" w:hAnsi="宋体" w:eastAsia="宋体" w:cs="宋体"/>
                <w:sz w:val="18"/>
                <w:szCs w:val="18"/>
              </w:rPr>
              <w:t>编号：</w:t>
            </w:r>
          </w:p>
          <w:p>
            <w:pPr>
              <w:pStyle w:val="2"/>
              <w:keepNext w:val="0"/>
              <w:keepLines w:val="0"/>
              <w:widowControl/>
              <w:suppressLineNumbers w:val="0"/>
              <w:spacing w:line="360" w:lineRule="auto"/>
            </w:pPr>
            <w:r>
              <w:rPr>
                <w:rFonts w:hint="eastAsia" w:ascii="宋体" w:hAnsi="宋体" w:eastAsia="宋体" w:cs="宋体"/>
                <w:sz w:val="18"/>
                <w:szCs w:val="18"/>
              </w:rPr>
              <w:t>眉山市高层次人才认定申请表</w:t>
            </w:r>
          </w:p>
          <w:p>
            <w:pPr>
              <w:pStyle w:val="2"/>
              <w:keepNext w:val="0"/>
              <w:keepLines w:val="0"/>
              <w:widowControl/>
              <w:suppressLineNumbers w:val="0"/>
              <w:spacing w:line="360" w:lineRule="auto"/>
            </w:pPr>
            <w:r>
              <w:rPr>
                <w:rFonts w:hint="eastAsia" w:ascii="宋体" w:hAnsi="宋体" w:eastAsia="宋体" w:cs="宋体"/>
                <w:sz w:val="18"/>
                <w:szCs w:val="18"/>
              </w:rPr>
              <w:t>申报人：</w:t>
            </w:r>
          </w:p>
          <w:p>
            <w:pPr>
              <w:pStyle w:val="2"/>
              <w:keepNext w:val="0"/>
              <w:keepLines w:val="0"/>
              <w:widowControl/>
              <w:suppressLineNumbers w:val="0"/>
              <w:spacing w:line="360" w:lineRule="auto"/>
            </w:pPr>
            <w:r>
              <w:rPr>
                <w:rFonts w:hint="eastAsia" w:ascii="宋体" w:hAnsi="宋体" w:eastAsia="宋体" w:cs="宋体"/>
                <w:sz w:val="18"/>
                <w:szCs w:val="18"/>
              </w:rPr>
              <w:t>主管单位（园区）：</w:t>
            </w:r>
          </w:p>
          <w:p>
            <w:pPr>
              <w:pStyle w:val="2"/>
              <w:keepNext w:val="0"/>
              <w:keepLines w:val="0"/>
              <w:widowControl/>
              <w:suppressLineNumbers w:val="0"/>
              <w:spacing w:line="360" w:lineRule="auto"/>
            </w:pPr>
            <w:r>
              <w:rPr>
                <w:rFonts w:hint="eastAsia" w:ascii="宋体" w:hAnsi="宋体" w:eastAsia="宋体" w:cs="宋体"/>
                <w:sz w:val="18"/>
                <w:szCs w:val="18"/>
              </w:rPr>
              <w:t>申报类别：</w:t>
            </w:r>
          </w:p>
          <w:p>
            <w:pPr>
              <w:pStyle w:val="2"/>
              <w:keepNext w:val="0"/>
              <w:keepLines w:val="0"/>
              <w:widowControl/>
              <w:suppressLineNumbers w:val="0"/>
              <w:spacing w:line="360" w:lineRule="auto"/>
            </w:pPr>
            <w:r>
              <w:rPr>
                <w:rFonts w:hint="eastAsia" w:ascii="宋体" w:hAnsi="宋体" w:eastAsia="宋体" w:cs="宋体"/>
                <w:sz w:val="18"/>
                <w:szCs w:val="18"/>
              </w:rPr>
              <w:t>填表日期：年月日</w:t>
            </w:r>
          </w:p>
          <w:p>
            <w:pPr>
              <w:pStyle w:val="2"/>
              <w:keepNext w:val="0"/>
              <w:keepLines w:val="0"/>
              <w:widowControl/>
              <w:suppressLineNumbers w:val="0"/>
              <w:spacing w:line="360" w:lineRule="auto"/>
            </w:pPr>
            <w:r>
              <w:rPr>
                <w:rFonts w:hint="eastAsia" w:ascii="宋体" w:hAnsi="宋体" w:eastAsia="宋体" w:cs="宋体"/>
                <w:sz w:val="18"/>
                <w:szCs w:val="18"/>
              </w:rPr>
              <w:t>眉山市人才工作领导小组办公室 制</w:t>
            </w:r>
          </w:p>
          <w:tbl>
            <w:tblPr>
              <w:tblpPr w:vertAnchor="text" w:tblpXSpec="left"/>
              <w:tblW w:w="10074"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74"/>
              <w:gridCol w:w="89"/>
              <w:gridCol w:w="821"/>
              <w:gridCol w:w="1209"/>
              <w:gridCol w:w="626"/>
              <w:gridCol w:w="1851"/>
              <w:gridCol w:w="2120"/>
              <w:gridCol w:w="19"/>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blCellSpacing w:w="0" w:type="dxa"/>
              </w:trPr>
              <w:tc>
                <w:tcPr>
                  <w:tcW w:w="1374" w:type="dxa"/>
                  <w:vMerge w:val="restart"/>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姓名</w:t>
                  </w:r>
                </w:p>
              </w:tc>
              <w:tc>
                <w:tcPr>
                  <w:tcW w:w="910" w:type="dxa"/>
                  <w:gridSpan w:val="2"/>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中文</w:t>
                  </w:r>
                </w:p>
              </w:tc>
              <w:tc>
                <w:tcPr>
                  <w:tcW w:w="1835" w:type="dxa"/>
                  <w:gridSpan w:val="2"/>
                  <w:shd w:val="clear"/>
                  <w:vAlign w:val="center"/>
                </w:tcPr>
                <w:p>
                  <w:pPr>
                    <w:rPr>
                      <w:rFonts w:hint="eastAsia" w:ascii="微软雅黑" w:hAnsi="微软雅黑" w:eastAsia="微软雅黑" w:cs="微软雅黑"/>
                      <w:color w:val="3E3E3E"/>
                      <w:sz w:val="18"/>
                      <w:szCs w:val="18"/>
                    </w:rPr>
                  </w:pPr>
                </w:p>
              </w:tc>
              <w:tc>
                <w:tcPr>
                  <w:tcW w:w="1851"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性别</w:t>
                  </w:r>
                </w:p>
              </w:tc>
              <w:tc>
                <w:tcPr>
                  <w:tcW w:w="2139" w:type="dxa"/>
                  <w:gridSpan w:val="2"/>
                  <w:shd w:val="clear"/>
                  <w:vAlign w:val="center"/>
                </w:tcPr>
                <w:p>
                  <w:pPr>
                    <w:rPr>
                      <w:rFonts w:hint="eastAsia" w:ascii="微软雅黑" w:hAnsi="微软雅黑" w:eastAsia="微软雅黑" w:cs="微软雅黑"/>
                      <w:color w:val="3E3E3E"/>
                      <w:sz w:val="18"/>
                      <w:szCs w:val="18"/>
                    </w:rPr>
                  </w:pPr>
                </w:p>
              </w:tc>
              <w:tc>
                <w:tcPr>
                  <w:tcW w:w="1965" w:type="dxa"/>
                  <w:vMerge w:val="restart"/>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近期小两寸</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正面免冠</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证件照片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tblCellSpacing w:w="0" w:type="dxa"/>
              </w:trPr>
              <w:tc>
                <w:tcPr>
                  <w:tcW w:w="1374" w:type="dxa"/>
                  <w:vMerge w:val="continue"/>
                  <w:shd w:val="clear"/>
                  <w:vAlign w:val="center"/>
                </w:tcPr>
                <w:p>
                  <w:pPr>
                    <w:rPr>
                      <w:rFonts w:hint="eastAsia" w:ascii="微软雅黑" w:hAnsi="微软雅黑" w:eastAsia="微软雅黑" w:cs="微软雅黑"/>
                      <w:color w:val="3E3E3E"/>
                      <w:sz w:val="18"/>
                      <w:szCs w:val="18"/>
                    </w:rPr>
                  </w:pPr>
                </w:p>
              </w:tc>
              <w:tc>
                <w:tcPr>
                  <w:tcW w:w="910" w:type="dxa"/>
                  <w:gridSpan w:val="2"/>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英文</w:t>
                  </w:r>
                </w:p>
              </w:tc>
              <w:tc>
                <w:tcPr>
                  <w:tcW w:w="1835" w:type="dxa"/>
                  <w:gridSpan w:val="2"/>
                  <w:shd w:val="clear"/>
                  <w:vAlign w:val="center"/>
                </w:tcPr>
                <w:p>
                  <w:pPr>
                    <w:rPr>
                      <w:rFonts w:hint="eastAsia" w:ascii="微软雅黑" w:hAnsi="微软雅黑" w:eastAsia="微软雅黑" w:cs="微软雅黑"/>
                      <w:color w:val="3E3E3E"/>
                      <w:sz w:val="18"/>
                      <w:szCs w:val="18"/>
                    </w:rPr>
                  </w:pPr>
                </w:p>
              </w:tc>
              <w:tc>
                <w:tcPr>
                  <w:tcW w:w="1851"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出生日期</w:t>
                  </w:r>
                </w:p>
              </w:tc>
              <w:tc>
                <w:tcPr>
                  <w:tcW w:w="2139" w:type="dxa"/>
                  <w:gridSpan w:val="2"/>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c>
                <w:tcPr>
                  <w:tcW w:w="1965" w:type="dxa"/>
                  <w:vMerge w:val="continue"/>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tblCellSpacing w:w="0" w:type="dxa"/>
              </w:trPr>
              <w:tc>
                <w:tcPr>
                  <w:tcW w:w="2284" w:type="dxa"/>
                  <w:gridSpan w:val="3"/>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出生地</w:t>
                  </w:r>
                </w:p>
              </w:tc>
              <w:tc>
                <w:tcPr>
                  <w:tcW w:w="1835" w:type="dxa"/>
                  <w:gridSpan w:val="2"/>
                  <w:shd w:val="clear"/>
                  <w:vAlign w:val="center"/>
                </w:tcPr>
                <w:p>
                  <w:pPr>
                    <w:rPr>
                      <w:rFonts w:hint="eastAsia" w:ascii="微软雅黑" w:hAnsi="微软雅黑" w:eastAsia="微软雅黑" w:cs="微软雅黑"/>
                      <w:color w:val="3E3E3E"/>
                      <w:sz w:val="18"/>
                      <w:szCs w:val="18"/>
                    </w:rPr>
                  </w:pPr>
                </w:p>
              </w:tc>
              <w:tc>
                <w:tcPr>
                  <w:tcW w:w="1851"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国籍/籍贯</w:t>
                  </w:r>
                </w:p>
              </w:tc>
              <w:tc>
                <w:tcPr>
                  <w:tcW w:w="2139" w:type="dxa"/>
                  <w:gridSpan w:val="2"/>
                  <w:shd w:val="clear"/>
                  <w:vAlign w:val="center"/>
                </w:tcPr>
                <w:p>
                  <w:pPr>
                    <w:rPr>
                      <w:rFonts w:hint="eastAsia" w:ascii="微软雅黑" w:hAnsi="微软雅黑" w:eastAsia="微软雅黑" w:cs="微软雅黑"/>
                      <w:color w:val="3E3E3E"/>
                      <w:sz w:val="18"/>
                      <w:szCs w:val="18"/>
                    </w:rPr>
                  </w:pPr>
                </w:p>
              </w:tc>
              <w:tc>
                <w:tcPr>
                  <w:tcW w:w="1965" w:type="dxa"/>
                  <w:vMerge w:val="continue"/>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tblCellSpacing w:w="0" w:type="dxa"/>
              </w:trPr>
              <w:tc>
                <w:tcPr>
                  <w:tcW w:w="2284" w:type="dxa"/>
                  <w:gridSpan w:val="3"/>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全日制教育毕业</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院校及专业、学位</w:t>
                  </w:r>
                </w:p>
              </w:tc>
              <w:tc>
                <w:tcPr>
                  <w:tcW w:w="1209"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中文</w:t>
                  </w:r>
                </w:p>
              </w:tc>
              <w:tc>
                <w:tcPr>
                  <w:tcW w:w="4616" w:type="dxa"/>
                  <w:gridSpan w:val="4"/>
                  <w:shd w:val="clear"/>
                  <w:vAlign w:val="center"/>
                </w:tcPr>
                <w:p>
                  <w:pPr>
                    <w:rPr>
                      <w:rFonts w:hint="eastAsia" w:ascii="微软雅黑" w:hAnsi="微软雅黑" w:eastAsia="微软雅黑" w:cs="微软雅黑"/>
                      <w:color w:val="3E3E3E"/>
                      <w:sz w:val="18"/>
                      <w:szCs w:val="18"/>
                    </w:rPr>
                  </w:pPr>
                </w:p>
              </w:tc>
              <w:tc>
                <w:tcPr>
                  <w:tcW w:w="1965" w:type="dxa"/>
                  <w:vMerge w:val="continue"/>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10" w:hRule="atLeast"/>
                <w:tblCellSpacing w:w="0" w:type="dxa"/>
              </w:trPr>
              <w:tc>
                <w:tcPr>
                  <w:tcW w:w="2284" w:type="dxa"/>
                  <w:gridSpan w:val="3"/>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原工作单位及职务</w:t>
                  </w:r>
                </w:p>
              </w:tc>
              <w:tc>
                <w:tcPr>
                  <w:tcW w:w="7790" w:type="dxa"/>
                  <w:gridSpan w:val="6"/>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tblCellSpacing w:w="0" w:type="dxa"/>
              </w:trPr>
              <w:tc>
                <w:tcPr>
                  <w:tcW w:w="2284" w:type="dxa"/>
                  <w:gridSpan w:val="3"/>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在眉山就职（创业）</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单位名称及职务</w:t>
                  </w:r>
                </w:p>
              </w:tc>
              <w:tc>
                <w:tcPr>
                  <w:tcW w:w="3686" w:type="dxa"/>
                  <w:gridSpan w:val="3"/>
                  <w:shd w:val="clear"/>
                  <w:vAlign w:val="center"/>
                </w:tcPr>
                <w:p>
                  <w:pPr>
                    <w:rPr>
                      <w:rFonts w:hint="eastAsia" w:ascii="微软雅黑" w:hAnsi="微软雅黑" w:eastAsia="微软雅黑" w:cs="微软雅黑"/>
                      <w:color w:val="3E3E3E"/>
                      <w:sz w:val="18"/>
                      <w:szCs w:val="18"/>
                    </w:rPr>
                  </w:pPr>
                </w:p>
              </w:tc>
              <w:tc>
                <w:tcPr>
                  <w:tcW w:w="212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主管部门或园区</w:t>
                  </w:r>
                </w:p>
              </w:tc>
              <w:tc>
                <w:tcPr>
                  <w:tcW w:w="1984" w:type="dxa"/>
                  <w:gridSpan w:val="2"/>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tblCellSpacing w:w="0" w:type="dxa"/>
              </w:trPr>
              <w:tc>
                <w:tcPr>
                  <w:tcW w:w="2284" w:type="dxa"/>
                  <w:gridSpan w:val="3"/>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联系电话（手机）</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地址</w:t>
                  </w:r>
                </w:p>
              </w:tc>
              <w:tc>
                <w:tcPr>
                  <w:tcW w:w="3686" w:type="dxa"/>
                  <w:gridSpan w:val="3"/>
                  <w:shd w:val="clear"/>
                  <w:vAlign w:val="center"/>
                </w:tcPr>
                <w:p>
                  <w:pPr>
                    <w:rPr>
                      <w:rFonts w:hint="eastAsia" w:ascii="微软雅黑" w:hAnsi="微软雅黑" w:eastAsia="微软雅黑" w:cs="微软雅黑"/>
                      <w:color w:val="3E3E3E"/>
                      <w:sz w:val="18"/>
                      <w:szCs w:val="18"/>
                    </w:rPr>
                  </w:pPr>
                </w:p>
              </w:tc>
              <w:tc>
                <w:tcPr>
                  <w:tcW w:w="212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电子信箱</w:t>
                  </w:r>
                </w:p>
              </w:tc>
              <w:tc>
                <w:tcPr>
                  <w:tcW w:w="1984" w:type="dxa"/>
                  <w:gridSpan w:val="2"/>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96" w:hRule="atLeast"/>
                <w:tblCellSpacing w:w="0" w:type="dxa"/>
              </w:trPr>
              <w:tc>
                <w:tcPr>
                  <w:tcW w:w="1463" w:type="dxa"/>
                  <w:gridSpan w:val="2"/>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教育经历（从本科填起）</w:t>
                  </w:r>
                </w:p>
              </w:tc>
              <w:tc>
                <w:tcPr>
                  <w:tcW w:w="8611" w:type="dxa"/>
                  <w:gridSpan w:val="7"/>
                  <w:shd w:val="clear"/>
                  <w:vAlign w:val="center"/>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786" w:hRule="atLeast"/>
                <w:tblCellSpacing w:w="0" w:type="dxa"/>
              </w:trPr>
              <w:tc>
                <w:tcPr>
                  <w:tcW w:w="1463" w:type="dxa"/>
                  <w:gridSpan w:val="2"/>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工作经历（兼职请注明）</w:t>
                  </w:r>
                </w:p>
              </w:tc>
              <w:tc>
                <w:tcPr>
                  <w:tcW w:w="8611" w:type="dxa"/>
                  <w:gridSpan w:val="7"/>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0" w:hRule="atLeast"/>
                <w:tblCellSpacing w:w="0" w:type="dxa"/>
              </w:trPr>
              <w:tc>
                <w:tcPr>
                  <w:tcW w:w="1374" w:type="dxa"/>
                  <w:shd w:val="clear"/>
                  <w:vAlign w:val="center"/>
                </w:tcPr>
                <w:p>
                  <w:pPr>
                    <w:rPr>
                      <w:rFonts w:hint="eastAsia" w:ascii="微软雅黑" w:hAnsi="微软雅黑" w:eastAsia="微软雅黑" w:cs="微软雅黑"/>
                      <w:color w:val="3E3E3E"/>
                      <w:sz w:val="18"/>
                      <w:szCs w:val="18"/>
                    </w:rPr>
                  </w:pPr>
                </w:p>
              </w:tc>
              <w:tc>
                <w:tcPr>
                  <w:tcW w:w="89" w:type="dxa"/>
                  <w:shd w:val="clear"/>
                  <w:vAlign w:val="center"/>
                </w:tcPr>
                <w:p>
                  <w:pPr>
                    <w:rPr>
                      <w:rFonts w:hint="eastAsia" w:ascii="微软雅黑" w:hAnsi="微软雅黑" w:eastAsia="微软雅黑" w:cs="微软雅黑"/>
                      <w:color w:val="3E3E3E"/>
                      <w:sz w:val="18"/>
                      <w:szCs w:val="18"/>
                    </w:rPr>
                  </w:pPr>
                </w:p>
              </w:tc>
              <w:tc>
                <w:tcPr>
                  <w:tcW w:w="821" w:type="dxa"/>
                  <w:shd w:val="clear"/>
                  <w:vAlign w:val="center"/>
                </w:tcPr>
                <w:p>
                  <w:pPr>
                    <w:rPr>
                      <w:rFonts w:hint="eastAsia" w:ascii="微软雅黑" w:hAnsi="微软雅黑" w:eastAsia="微软雅黑" w:cs="微软雅黑"/>
                      <w:color w:val="3E3E3E"/>
                      <w:sz w:val="18"/>
                      <w:szCs w:val="18"/>
                    </w:rPr>
                  </w:pPr>
                </w:p>
              </w:tc>
              <w:tc>
                <w:tcPr>
                  <w:tcW w:w="1209" w:type="dxa"/>
                  <w:shd w:val="clear"/>
                  <w:vAlign w:val="center"/>
                </w:tcPr>
                <w:p>
                  <w:pPr>
                    <w:rPr>
                      <w:rFonts w:hint="eastAsia" w:ascii="微软雅黑" w:hAnsi="微软雅黑" w:eastAsia="微软雅黑" w:cs="微软雅黑"/>
                      <w:color w:val="3E3E3E"/>
                      <w:sz w:val="18"/>
                      <w:szCs w:val="18"/>
                    </w:rPr>
                  </w:pPr>
                </w:p>
              </w:tc>
              <w:tc>
                <w:tcPr>
                  <w:tcW w:w="626" w:type="dxa"/>
                  <w:shd w:val="clear"/>
                  <w:vAlign w:val="center"/>
                </w:tcPr>
                <w:p>
                  <w:pPr>
                    <w:rPr>
                      <w:rFonts w:hint="eastAsia" w:ascii="微软雅黑" w:hAnsi="微软雅黑" w:eastAsia="微软雅黑" w:cs="微软雅黑"/>
                      <w:color w:val="3E3E3E"/>
                      <w:sz w:val="18"/>
                      <w:szCs w:val="18"/>
                    </w:rPr>
                  </w:pPr>
                </w:p>
              </w:tc>
              <w:tc>
                <w:tcPr>
                  <w:tcW w:w="1851" w:type="dxa"/>
                  <w:shd w:val="clear"/>
                  <w:vAlign w:val="center"/>
                </w:tcPr>
                <w:p>
                  <w:pPr>
                    <w:rPr>
                      <w:rFonts w:hint="eastAsia" w:ascii="微软雅黑" w:hAnsi="微软雅黑" w:eastAsia="微软雅黑" w:cs="微软雅黑"/>
                      <w:color w:val="3E3E3E"/>
                      <w:sz w:val="18"/>
                      <w:szCs w:val="18"/>
                    </w:rPr>
                  </w:pPr>
                </w:p>
              </w:tc>
              <w:tc>
                <w:tcPr>
                  <w:tcW w:w="2120" w:type="dxa"/>
                  <w:shd w:val="clear"/>
                  <w:vAlign w:val="center"/>
                </w:tcPr>
                <w:p>
                  <w:pPr>
                    <w:rPr>
                      <w:rFonts w:hint="eastAsia" w:ascii="微软雅黑" w:hAnsi="微软雅黑" w:eastAsia="微软雅黑" w:cs="微软雅黑"/>
                      <w:color w:val="3E3E3E"/>
                      <w:sz w:val="18"/>
                      <w:szCs w:val="18"/>
                    </w:rPr>
                  </w:pPr>
                </w:p>
              </w:tc>
              <w:tc>
                <w:tcPr>
                  <w:tcW w:w="19" w:type="dxa"/>
                  <w:shd w:val="clear"/>
                  <w:vAlign w:val="center"/>
                </w:tcPr>
                <w:p>
                  <w:pPr>
                    <w:rPr>
                      <w:rFonts w:hint="eastAsia" w:ascii="微软雅黑" w:hAnsi="微软雅黑" w:eastAsia="微软雅黑" w:cs="微软雅黑"/>
                      <w:color w:val="3E3E3E"/>
                      <w:sz w:val="18"/>
                      <w:szCs w:val="18"/>
                    </w:rPr>
                  </w:pPr>
                </w:p>
              </w:tc>
              <w:tc>
                <w:tcPr>
                  <w:tcW w:w="1965" w:type="dxa"/>
                  <w:shd w:val="clear"/>
                  <w:vAlign w:val="center"/>
                </w:tcPr>
                <w:p>
                  <w:pPr>
                    <w:rPr>
                      <w:rFonts w:hint="eastAsia" w:ascii="微软雅黑" w:hAnsi="微软雅黑" w:eastAsia="微软雅黑" w:cs="微软雅黑"/>
                      <w:color w:val="3E3E3E"/>
                      <w:sz w:val="18"/>
                      <w:szCs w:val="18"/>
                    </w:rPr>
                  </w:pPr>
                </w:p>
              </w:tc>
            </w:tr>
          </w:tbl>
          <w:p>
            <w:pPr>
              <w:rPr>
                <w:vanish/>
                <w:sz w:val="24"/>
                <w:szCs w:val="24"/>
              </w:rPr>
            </w:pPr>
          </w:p>
          <w:tbl>
            <w:tblPr>
              <w:tblpPr w:vertAnchor="text" w:tblpXSpec="left"/>
              <w:tblW w:w="1026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75" w:hRule="atLeast"/>
                <w:tblCellSpacing w:w="0" w:type="dxa"/>
              </w:trPr>
              <w:tc>
                <w:tcPr>
                  <w:tcW w:w="1026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专长及代表性成果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405" w:hRule="atLeast"/>
                <w:tblCellSpacing w:w="0" w:type="dxa"/>
              </w:trPr>
              <w:tc>
                <w:tcPr>
                  <w:tcW w:w="10260" w:type="dxa"/>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1．个人专长：</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2．领导（参与）过的主要项目</w:t>
                  </w:r>
                </w:p>
                <w:tbl>
                  <w:tblPr>
                    <w:tblW w:w="1002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680"/>
                    <w:gridCol w:w="1905"/>
                    <w:gridCol w:w="1335"/>
                    <w:gridCol w:w="1800"/>
                    <w:gridCol w:w="3300"/>
                  </w:tblGrid>
                  <w:tr>
                    <w:tblPrEx>
                      <w:tblLayout w:type="fixed"/>
                      <w:tblCellMar>
                        <w:top w:w="0" w:type="dxa"/>
                        <w:left w:w="0" w:type="dxa"/>
                        <w:bottom w:w="0" w:type="dxa"/>
                        <w:right w:w="0" w:type="dxa"/>
                      </w:tblCellMar>
                    </w:tblPrEx>
                    <w:trPr>
                      <w:tblCellSpacing w:w="0" w:type="dxa"/>
                    </w:trPr>
                    <w:tc>
                      <w:tcPr>
                        <w:tcW w:w="168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起止时间</w:t>
                        </w:r>
                      </w:p>
                    </w:tc>
                    <w:tc>
                      <w:tcPr>
                        <w:tcW w:w="1905"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项目性质和来源</w:t>
                        </w:r>
                      </w:p>
                    </w:tc>
                    <w:tc>
                      <w:tcPr>
                        <w:tcW w:w="1335"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经费总额</w:t>
                        </w:r>
                      </w:p>
                    </w:tc>
                    <w:tc>
                      <w:tcPr>
                        <w:tcW w:w="180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参与人数</w:t>
                        </w:r>
                      </w:p>
                    </w:tc>
                    <w:tc>
                      <w:tcPr>
                        <w:tcW w:w="330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其中，申报人的具体任务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80" w:type="dxa"/>
                        <w:shd w:val="clear"/>
                        <w:vAlign w:val="top"/>
                      </w:tcPr>
                      <w:p>
                        <w:pPr>
                          <w:rPr>
                            <w:rFonts w:hint="eastAsia" w:ascii="微软雅黑" w:hAnsi="微软雅黑" w:eastAsia="微软雅黑" w:cs="微软雅黑"/>
                            <w:color w:val="3E3E3E"/>
                            <w:sz w:val="18"/>
                            <w:szCs w:val="18"/>
                          </w:rPr>
                        </w:pPr>
                      </w:p>
                    </w:tc>
                    <w:tc>
                      <w:tcPr>
                        <w:tcW w:w="1905" w:type="dxa"/>
                        <w:shd w:val="clear"/>
                        <w:vAlign w:val="top"/>
                      </w:tcPr>
                      <w:p>
                        <w:pPr>
                          <w:rPr>
                            <w:rFonts w:hint="eastAsia" w:ascii="微软雅黑" w:hAnsi="微软雅黑" w:eastAsia="微软雅黑" w:cs="微软雅黑"/>
                            <w:color w:val="3E3E3E"/>
                            <w:sz w:val="18"/>
                            <w:szCs w:val="18"/>
                          </w:rPr>
                        </w:pPr>
                      </w:p>
                    </w:tc>
                    <w:tc>
                      <w:tcPr>
                        <w:tcW w:w="1335" w:type="dxa"/>
                        <w:shd w:val="clear"/>
                        <w:vAlign w:val="top"/>
                      </w:tcPr>
                      <w:p>
                        <w:pPr>
                          <w:rPr>
                            <w:rFonts w:hint="eastAsia" w:ascii="微软雅黑" w:hAnsi="微软雅黑" w:eastAsia="微软雅黑" w:cs="微软雅黑"/>
                            <w:color w:val="3E3E3E"/>
                            <w:sz w:val="18"/>
                            <w:szCs w:val="18"/>
                          </w:rPr>
                        </w:pPr>
                      </w:p>
                    </w:tc>
                    <w:tc>
                      <w:tcPr>
                        <w:tcW w:w="1800" w:type="dxa"/>
                        <w:shd w:val="clear"/>
                        <w:vAlign w:val="top"/>
                      </w:tcPr>
                      <w:p>
                        <w:pPr>
                          <w:rPr>
                            <w:rFonts w:hint="eastAsia" w:ascii="微软雅黑" w:hAnsi="微软雅黑" w:eastAsia="微软雅黑" w:cs="微软雅黑"/>
                            <w:color w:val="3E3E3E"/>
                            <w:sz w:val="18"/>
                            <w:szCs w:val="18"/>
                          </w:rPr>
                        </w:pPr>
                      </w:p>
                    </w:tc>
                    <w:tc>
                      <w:tcPr>
                        <w:tcW w:w="330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80" w:type="dxa"/>
                        <w:shd w:val="clear"/>
                        <w:vAlign w:val="top"/>
                      </w:tcPr>
                      <w:p>
                        <w:pPr>
                          <w:rPr>
                            <w:rFonts w:hint="eastAsia" w:ascii="微软雅黑" w:hAnsi="微软雅黑" w:eastAsia="微软雅黑" w:cs="微软雅黑"/>
                            <w:color w:val="3E3E3E"/>
                            <w:sz w:val="18"/>
                            <w:szCs w:val="18"/>
                          </w:rPr>
                        </w:pPr>
                      </w:p>
                    </w:tc>
                    <w:tc>
                      <w:tcPr>
                        <w:tcW w:w="1905" w:type="dxa"/>
                        <w:shd w:val="clear"/>
                        <w:vAlign w:val="top"/>
                      </w:tcPr>
                      <w:p>
                        <w:pPr>
                          <w:rPr>
                            <w:rFonts w:hint="eastAsia" w:ascii="微软雅黑" w:hAnsi="微软雅黑" w:eastAsia="微软雅黑" w:cs="微软雅黑"/>
                            <w:color w:val="3E3E3E"/>
                            <w:sz w:val="18"/>
                            <w:szCs w:val="18"/>
                          </w:rPr>
                        </w:pPr>
                      </w:p>
                    </w:tc>
                    <w:tc>
                      <w:tcPr>
                        <w:tcW w:w="1335" w:type="dxa"/>
                        <w:shd w:val="clear"/>
                        <w:vAlign w:val="top"/>
                      </w:tcPr>
                      <w:p>
                        <w:pPr>
                          <w:rPr>
                            <w:rFonts w:hint="eastAsia" w:ascii="微软雅黑" w:hAnsi="微软雅黑" w:eastAsia="微软雅黑" w:cs="微软雅黑"/>
                            <w:color w:val="3E3E3E"/>
                            <w:sz w:val="18"/>
                            <w:szCs w:val="18"/>
                          </w:rPr>
                        </w:pPr>
                      </w:p>
                    </w:tc>
                    <w:tc>
                      <w:tcPr>
                        <w:tcW w:w="1800" w:type="dxa"/>
                        <w:shd w:val="clear"/>
                        <w:vAlign w:val="top"/>
                      </w:tcPr>
                      <w:p>
                        <w:pPr>
                          <w:rPr>
                            <w:rFonts w:hint="eastAsia" w:ascii="微软雅黑" w:hAnsi="微软雅黑" w:eastAsia="微软雅黑" w:cs="微软雅黑"/>
                            <w:color w:val="3E3E3E"/>
                            <w:sz w:val="18"/>
                            <w:szCs w:val="18"/>
                          </w:rPr>
                        </w:pPr>
                      </w:p>
                    </w:tc>
                    <w:tc>
                      <w:tcPr>
                        <w:tcW w:w="330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80" w:type="dxa"/>
                        <w:shd w:val="clear"/>
                        <w:vAlign w:val="top"/>
                      </w:tcPr>
                      <w:p>
                        <w:pPr>
                          <w:rPr>
                            <w:rFonts w:hint="eastAsia" w:ascii="微软雅黑" w:hAnsi="微软雅黑" w:eastAsia="微软雅黑" w:cs="微软雅黑"/>
                            <w:color w:val="3E3E3E"/>
                            <w:sz w:val="18"/>
                            <w:szCs w:val="18"/>
                          </w:rPr>
                        </w:pPr>
                      </w:p>
                    </w:tc>
                    <w:tc>
                      <w:tcPr>
                        <w:tcW w:w="1905" w:type="dxa"/>
                        <w:shd w:val="clear"/>
                        <w:vAlign w:val="top"/>
                      </w:tcPr>
                      <w:p>
                        <w:pPr>
                          <w:rPr>
                            <w:rFonts w:hint="eastAsia" w:ascii="微软雅黑" w:hAnsi="微软雅黑" w:eastAsia="微软雅黑" w:cs="微软雅黑"/>
                            <w:color w:val="3E3E3E"/>
                            <w:sz w:val="18"/>
                            <w:szCs w:val="18"/>
                          </w:rPr>
                        </w:pPr>
                      </w:p>
                    </w:tc>
                    <w:tc>
                      <w:tcPr>
                        <w:tcW w:w="1335" w:type="dxa"/>
                        <w:shd w:val="clear"/>
                        <w:vAlign w:val="top"/>
                      </w:tcPr>
                      <w:p>
                        <w:pPr>
                          <w:rPr>
                            <w:rFonts w:hint="eastAsia" w:ascii="微软雅黑" w:hAnsi="微软雅黑" w:eastAsia="微软雅黑" w:cs="微软雅黑"/>
                            <w:color w:val="3E3E3E"/>
                            <w:sz w:val="18"/>
                            <w:szCs w:val="18"/>
                          </w:rPr>
                        </w:pPr>
                      </w:p>
                    </w:tc>
                    <w:tc>
                      <w:tcPr>
                        <w:tcW w:w="1800" w:type="dxa"/>
                        <w:shd w:val="clear"/>
                        <w:vAlign w:val="top"/>
                      </w:tcPr>
                      <w:p>
                        <w:pPr>
                          <w:rPr>
                            <w:rFonts w:hint="eastAsia" w:ascii="微软雅黑" w:hAnsi="微软雅黑" w:eastAsia="微软雅黑" w:cs="微软雅黑"/>
                            <w:color w:val="3E3E3E"/>
                            <w:sz w:val="18"/>
                            <w:szCs w:val="18"/>
                          </w:rPr>
                        </w:pPr>
                      </w:p>
                    </w:tc>
                    <w:tc>
                      <w:tcPr>
                        <w:tcW w:w="330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80" w:type="dxa"/>
                        <w:shd w:val="clear"/>
                        <w:vAlign w:val="top"/>
                      </w:tcPr>
                      <w:p>
                        <w:pPr>
                          <w:rPr>
                            <w:rFonts w:hint="eastAsia" w:ascii="微软雅黑" w:hAnsi="微软雅黑" w:eastAsia="微软雅黑" w:cs="微软雅黑"/>
                            <w:color w:val="3E3E3E"/>
                            <w:sz w:val="18"/>
                            <w:szCs w:val="18"/>
                          </w:rPr>
                        </w:pPr>
                      </w:p>
                    </w:tc>
                    <w:tc>
                      <w:tcPr>
                        <w:tcW w:w="1905" w:type="dxa"/>
                        <w:shd w:val="clear"/>
                        <w:vAlign w:val="top"/>
                      </w:tcPr>
                      <w:p>
                        <w:pPr>
                          <w:rPr>
                            <w:rFonts w:hint="eastAsia" w:ascii="微软雅黑" w:hAnsi="微软雅黑" w:eastAsia="微软雅黑" w:cs="微软雅黑"/>
                            <w:color w:val="3E3E3E"/>
                            <w:sz w:val="18"/>
                            <w:szCs w:val="18"/>
                          </w:rPr>
                        </w:pPr>
                      </w:p>
                    </w:tc>
                    <w:tc>
                      <w:tcPr>
                        <w:tcW w:w="1335" w:type="dxa"/>
                        <w:shd w:val="clear"/>
                        <w:vAlign w:val="top"/>
                      </w:tcPr>
                      <w:p>
                        <w:pPr>
                          <w:rPr>
                            <w:rFonts w:hint="eastAsia" w:ascii="微软雅黑" w:hAnsi="微软雅黑" w:eastAsia="微软雅黑" w:cs="微软雅黑"/>
                            <w:color w:val="3E3E3E"/>
                            <w:sz w:val="18"/>
                            <w:szCs w:val="18"/>
                          </w:rPr>
                        </w:pPr>
                      </w:p>
                    </w:tc>
                    <w:tc>
                      <w:tcPr>
                        <w:tcW w:w="1800" w:type="dxa"/>
                        <w:shd w:val="clear"/>
                        <w:vAlign w:val="top"/>
                      </w:tcPr>
                      <w:p>
                        <w:pPr>
                          <w:rPr>
                            <w:rFonts w:hint="eastAsia" w:ascii="微软雅黑" w:hAnsi="微软雅黑" w:eastAsia="微软雅黑" w:cs="微软雅黑"/>
                            <w:color w:val="3E3E3E"/>
                            <w:sz w:val="18"/>
                            <w:szCs w:val="18"/>
                          </w:rPr>
                        </w:pPr>
                      </w:p>
                    </w:tc>
                    <w:tc>
                      <w:tcPr>
                        <w:tcW w:w="330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80" w:type="dxa"/>
                        <w:shd w:val="clear"/>
                        <w:vAlign w:val="top"/>
                      </w:tcPr>
                      <w:p>
                        <w:pPr>
                          <w:rPr>
                            <w:rFonts w:hint="eastAsia" w:ascii="微软雅黑" w:hAnsi="微软雅黑" w:eastAsia="微软雅黑" w:cs="微软雅黑"/>
                            <w:color w:val="3E3E3E"/>
                            <w:sz w:val="18"/>
                            <w:szCs w:val="18"/>
                          </w:rPr>
                        </w:pPr>
                      </w:p>
                    </w:tc>
                    <w:tc>
                      <w:tcPr>
                        <w:tcW w:w="1905" w:type="dxa"/>
                        <w:shd w:val="clear"/>
                        <w:vAlign w:val="top"/>
                      </w:tcPr>
                      <w:p>
                        <w:pPr>
                          <w:rPr>
                            <w:rFonts w:hint="eastAsia" w:ascii="微软雅黑" w:hAnsi="微软雅黑" w:eastAsia="微软雅黑" w:cs="微软雅黑"/>
                            <w:color w:val="3E3E3E"/>
                            <w:sz w:val="18"/>
                            <w:szCs w:val="18"/>
                          </w:rPr>
                        </w:pPr>
                      </w:p>
                    </w:tc>
                    <w:tc>
                      <w:tcPr>
                        <w:tcW w:w="1335" w:type="dxa"/>
                        <w:shd w:val="clear"/>
                        <w:vAlign w:val="top"/>
                      </w:tcPr>
                      <w:p>
                        <w:pPr>
                          <w:rPr>
                            <w:rFonts w:hint="eastAsia" w:ascii="微软雅黑" w:hAnsi="微软雅黑" w:eastAsia="微软雅黑" w:cs="微软雅黑"/>
                            <w:color w:val="3E3E3E"/>
                            <w:sz w:val="18"/>
                            <w:szCs w:val="18"/>
                          </w:rPr>
                        </w:pPr>
                      </w:p>
                    </w:tc>
                    <w:tc>
                      <w:tcPr>
                        <w:tcW w:w="1800" w:type="dxa"/>
                        <w:shd w:val="clear"/>
                        <w:vAlign w:val="top"/>
                      </w:tcPr>
                      <w:p>
                        <w:pPr>
                          <w:rPr>
                            <w:rFonts w:hint="eastAsia" w:ascii="微软雅黑" w:hAnsi="微软雅黑" w:eastAsia="微软雅黑" w:cs="微软雅黑"/>
                            <w:color w:val="3E3E3E"/>
                            <w:sz w:val="18"/>
                            <w:szCs w:val="18"/>
                          </w:rPr>
                        </w:pPr>
                      </w:p>
                    </w:tc>
                    <w:tc>
                      <w:tcPr>
                        <w:tcW w:w="3300" w:type="dxa"/>
                        <w:shd w:val="clear"/>
                        <w:vAlign w:val="top"/>
                      </w:tcPr>
                      <w:p>
                        <w:pPr>
                          <w:rPr>
                            <w:rFonts w:hint="eastAsia" w:ascii="微软雅黑" w:hAnsi="微软雅黑" w:eastAsia="微软雅黑" w:cs="微软雅黑"/>
                            <w:color w:val="3E3E3E"/>
                            <w:sz w:val="18"/>
                            <w:szCs w:val="18"/>
                          </w:rPr>
                        </w:pPr>
                      </w:p>
                    </w:tc>
                  </w:tr>
                </w:tbl>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3．主要成果（以下每类填写不超过三项）</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（1）代表性论著（论文）</w:t>
                  </w:r>
                </w:p>
                <w:tbl>
                  <w:tblPr>
                    <w:tblW w:w="996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00"/>
                    <w:gridCol w:w="4605"/>
                    <w:gridCol w:w="1620"/>
                    <w:gridCol w:w="2235"/>
                  </w:tblGrid>
                  <w:tr>
                    <w:tblPrEx>
                      <w:tblLayout w:type="fixed"/>
                      <w:tblCellMar>
                        <w:top w:w="0" w:type="dxa"/>
                        <w:left w:w="0" w:type="dxa"/>
                        <w:bottom w:w="0" w:type="dxa"/>
                        <w:right w:w="0" w:type="dxa"/>
                      </w:tblCellMar>
                    </w:tblPrEx>
                    <w:trPr>
                      <w:tblCellSpacing w:w="0" w:type="dxa"/>
                    </w:trPr>
                    <w:tc>
                      <w:tcPr>
                        <w:tcW w:w="150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发表时间</w:t>
                        </w:r>
                      </w:p>
                    </w:tc>
                    <w:tc>
                      <w:tcPr>
                        <w:tcW w:w="4605"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论著（论文）名称</w:t>
                        </w:r>
                      </w:p>
                    </w:tc>
                    <w:tc>
                      <w:tcPr>
                        <w:tcW w:w="162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发表载体</w:t>
                        </w:r>
                      </w:p>
                    </w:tc>
                    <w:tc>
                      <w:tcPr>
                        <w:tcW w:w="2235"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论著（论文）作者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605"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2235"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605"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2235"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605"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2235" w:type="dxa"/>
                        <w:shd w:val="clear"/>
                        <w:vAlign w:val="top"/>
                      </w:tcPr>
                      <w:p>
                        <w:pPr>
                          <w:rPr>
                            <w:rFonts w:hint="eastAsia" w:ascii="微软雅黑" w:hAnsi="微软雅黑" w:eastAsia="微软雅黑" w:cs="微软雅黑"/>
                            <w:color w:val="3E3E3E"/>
                            <w:sz w:val="18"/>
                            <w:szCs w:val="18"/>
                          </w:rPr>
                        </w:pPr>
                      </w:p>
                    </w:tc>
                  </w:tr>
                </w:tbl>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（2）专利</w:t>
                  </w:r>
                </w:p>
                <w:tbl>
                  <w:tblPr>
                    <w:tblW w:w="996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00"/>
                    <w:gridCol w:w="4860"/>
                    <w:gridCol w:w="162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CellSpacing w:w="0" w:type="dxa"/>
                    </w:trPr>
                    <w:tc>
                      <w:tcPr>
                        <w:tcW w:w="150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专利保护期</w:t>
                        </w:r>
                      </w:p>
                    </w:tc>
                    <w:tc>
                      <w:tcPr>
                        <w:tcW w:w="486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专利名称</w:t>
                        </w:r>
                      </w:p>
                    </w:tc>
                    <w:tc>
                      <w:tcPr>
                        <w:tcW w:w="162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授权国家</w:t>
                        </w:r>
                      </w:p>
                    </w:tc>
                    <w:tc>
                      <w:tcPr>
                        <w:tcW w:w="1980" w:type="dxa"/>
                        <w:shd w:val="clear"/>
                        <w:vAlign w:val="center"/>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专利所有者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860"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198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860"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1980" w:type="dxa"/>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00" w:type="dxa"/>
                        <w:shd w:val="clear"/>
                        <w:vAlign w:val="top"/>
                      </w:tcPr>
                      <w:p>
                        <w:pPr>
                          <w:rPr>
                            <w:rFonts w:hint="eastAsia" w:ascii="微软雅黑" w:hAnsi="微软雅黑" w:eastAsia="微软雅黑" w:cs="微软雅黑"/>
                            <w:color w:val="3E3E3E"/>
                            <w:sz w:val="18"/>
                            <w:szCs w:val="18"/>
                          </w:rPr>
                        </w:pPr>
                      </w:p>
                    </w:tc>
                    <w:tc>
                      <w:tcPr>
                        <w:tcW w:w="4860" w:type="dxa"/>
                        <w:shd w:val="clear"/>
                        <w:vAlign w:val="top"/>
                      </w:tcPr>
                      <w:p>
                        <w:pPr>
                          <w:rPr>
                            <w:rFonts w:hint="eastAsia" w:ascii="微软雅黑" w:hAnsi="微软雅黑" w:eastAsia="微软雅黑" w:cs="微软雅黑"/>
                            <w:color w:val="3E3E3E"/>
                            <w:sz w:val="18"/>
                            <w:szCs w:val="18"/>
                          </w:rPr>
                        </w:pPr>
                      </w:p>
                    </w:tc>
                    <w:tc>
                      <w:tcPr>
                        <w:tcW w:w="1620" w:type="dxa"/>
                        <w:shd w:val="clear"/>
                        <w:vAlign w:val="top"/>
                      </w:tcPr>
                      <w:p>
                        <w:pPr>
                          <w:rPr>
                            <w:rFonts w:hint="eastAsia" w:ascii="微软雅黑" w:hAnsi="微软雅黑" w:eastAsia="微软雅黑" w:cs="微软雅黑"/>
                            <w:color w:val="3E3E3E"/>
                            <w:sz w:val="18"/>
                            <w:szCs w:val="18"/>
                          </w:rPr>
                        </w:pPr>
                      </w:p>
                    </w:tc>
                    <w:tc>
                      <w:tcPr>
                        <w:tcW w:w="1980" w:type="dxa"/>
                        <w:shd w:val="clear"/>
                        <w:vAlign w:val="top"/>
                      </w:tcPr>
                      <w:p>
                        <w:pPr>
                          <w:rPr>
                            <w:rFonts w:hint="eastAsia" w:ascii="微软雅黑" w:hAnsi="微软雅黑" w:eastAsia="微软雅黑" w:cs="微软雅黑"/>
                            <w:color w:val="3E3E3E"/>
                            <w:sz w:val="18"/>
                            <w:szCs w:val="18"/>
                          </w:rPr>
                        </w:pPr>
                      </w:p>
                    </w:tc>
                  </w:tr>
                </w:tbl>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（3）产品：</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4.其他成果（包括获得的重要奖项、在学术组织兼职、在国际学术会议做重要报告等情况；如属创业人才，请简述创业项目及现阶段产业化情况。）</w:t>
                  </w:r>
                </w:p>
              </w:tc>
            </w:tr>
          </w:tbl>
          <w:tbl>
            <w:tblPr>
              <w:tblW w:w="1027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890"/>
              <w:gridCol w:w="5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10" w:hRule="atLeast"/>
                <w:tblCellSpacing w:w="0" w:type="dxa"/>
              </w:trPr>
              <w:tc>
                <w:tcPr>
                  <w:tcW w:w="10275" w:type="dxa"/>
                  <w:gridSpan w:val="2"/>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您是否和其他任何单位签订过仍然有效的竞业禁止协议，如果有，请列出，如果没有，请填写“无”。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90" w:hRule="atLeast"/>
                <w:tblCellSpacing w:w="0" w:type="dxa"/>
              </w:trPr>
              <w:tc>
                <w:tcPr>
                  <w:tcW w:w="10275" w:type="dxa"/>
                  <w:gridSpan w:val="2"/>
                  <w:shd w:val="clear"/>
                  <w:vAlign w:val="top"/>
                </w:tcPr>
                <w:p>
                  <w:pPr>
                    <w:rPr>
                      <w:rFonts w:hint="eastAsia" w:ascii="微软雅黑" w:hAnsi="微软雅黑" w:eastAsia="微软雅黑" w:cs="微软雅黑"/>
                      <w:color w:val="3E3E3E"/>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326" w:hRule="atLeast"/>
                <w:tblCellSpacing w:w="0" w:type="dxa"/>
              </w:trPr>
              <w:tc>
                <w:tcPr>
                  <w:tcW w:w="10275" w:type="dxa"/>
                  <w:gridSpan w:val="2"/>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本人郑重承诺以上信息均真实有效。</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申报人签字：</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36" w:hRule="atLeast"/>
                <w:tblCellSpacing w:w="0" w:type="dxa"/>
              </w:trPr>
              <w:tc>
                <w:tcPr>
                  <w:tcW w:w="4890" w:type="dxa"/>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申报人项目依托单位（盖章）</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c>
                <w:tcPr>
                  <w:tcW w:w="5385" w:type="dxa"/>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主管部门复核意见（盖章）</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341" w:hRule="atLeast"/>
                <w:tblCellSpacing w:w="0" w:type="dxa"/>
              </w:trPr>
              <w:tc>
                <w:tcPr>
                  <w:tcW w:w="10275" w:type="dxa"/>
                  <w:gridSpan w:val="2"/>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眉山市人力资源和社会保障局（盖章）</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256" w:hRule="atLeast"/>
                <w:tblCellSpacing w:w="0" w:type="dxa"/>
              </w:trPr>
              <w:tc>
                <w:tcPr>
                  <w:tcW w:w="10275" w:type="dxa"/>
                  <w:gridSpan w:val="2"/>
                  <w:shd w:val="clear"/>
                  <w:vAlign w:val="top"/>
                </w:tcPr>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眉山市人才工作领导小组办公室（盖章）</w:t>
                  </w:r>
                </w:p>
                <w:p>
                  <w:pPr>
                    <w:pStyle w:val="2"/>
                    <w:keepNext w:val="0"/>
                    <w:keepLines w:val="0"/>
                    <w:widowControl/>
                    <w:suppressLineNumbers w:val="0"/>
                    <w:spacing w:line="360" w:lineRule="auto"/>
                  </w:pPr>
                  <w:r>
                    <w:rPr>
                      <w:rFonts w:hint="eastAsia" w:ascii="微软雅黑" w:hAnsi="微软雅黑" w:eastAsia="微软雅黑" w:cs="微软雅黑"/>
                      <w:color w:val="3E3E3E"/>
                      <w:sz w:val="18"/>
                      <w:szCs w:val="18"/>
                    </w:rPr>
                    <w:t>年月日</w:t>
                  </w:r>
                </w:p>
              </w:tc>
            </w:tr>
          </w:tbl>
          <w:p>
            <w:pPr>
              <w:pStyle w:val="2"/>
              <w:keepNext w:val="0"/>
              <w:keepLines w:val="0"/>
              <w:widowControl/>
              <w:suppressLineNumbers w:val="0"/>
              <w:spacing w:line="360" w:lineRule="auto"/>
            </w:pPr>
            <w:r>
              <w:rPr>
                <w:rFonts w:hint="eastAsia" w:ascii="宋体" w:hAnsi="宋体" w:eastAsia="宋体" w:cs="宋体"/>
                <w:sz w:val="18"/>
                <w:szCs w:val="18"/>
              </w:rPr>
              <w:t>眉山市高层次人才安居保障实施办法（试行）</w:t>
            </w:r>
          </w:p>
          <w:p>
            <w:pPr>
              <w:pStyle w:val="2"/>
              <w:keepNext w:val="0"/>
              <w:keepLines w:val="0"/>
              <w:widowControl/>
              <w:suppressLineNumbers w:val="0"/>
              <w:spacing w:line="360" w:lineRule="auto"/>
            </w:pPr>
            <w:r>
              <w:rPr>
                <w:rFonts w:hint="eastAsia" w:ascii="宋体" w:hAnsi="宋体" w:eastAsia="宋体" w:cs="宋体"/>
                <w:sz w:val="18"/>
                <w:szCs w:val="18"/>
              </w:rPr>
              <w:t>第一章总则</w:t>
            </w:r>
          </w:p>
          <w:p>
            <w:pPr>
              <w:pStyle w:val="2"/>
              <w:keepNext w:val="0"/>
              <w:keepLines w:val="0"/>
              <w:widowControl/>
              <w:suppressLineNumbers w:val="0"/>
              <w:spacing w:line="360" w:lineRule="auto"/>
            </w:pPr>
            <w:r>
              <w:rPr>
                <w:rFonts w:hint="eastAsia" w:ascii="宋体" w:hAnsi="宋体" w:eastAsia="宋体" w:cs="宋体"/>
                <w:sz w:val="18"/>
                <w:szCs w:val="18"/>
              </w:rPr>
              <w:t>第一条为进一步优化创新创业环境，促进更多优秀人才向眉山聚集，助推繁荣富裕美好眉山建设，根据《“眉山优才工程”实施方案》（眉委办发电〔2017〕79号），结合我市实际制定本办法。</w:t>
            </w:r>
          </w:p>
          <w:p>
            <w:pPr>
              <w:pStyle w:val="2"/>
              <w:keepNext w:val="0"/>
              <w:keepLines w:val="0"/>
              <w:widowControl/>
              <w:suppressLineNumbers w:val="0"/>
              <w:spacing w:line="360" w:lineRule="auto"/>
            </w:pPr>
            <w:r>
              <w:rPr>
                <w:rFonts w:hint="eastAsia" w:ascii="宋体" w:hAnsi="宋体" w:eastAsia="宋体" w:cs="宋体"/>
                <w:sz w:val="18"/>
                <w:szCs w:val="18"/>
              </w:rPr>
              <w:t>第二条本办法所称高层次人才是指按照《眉山市高层次人才分类认定办法（试行）》认定的顶尖人才、杰出人才、领军人才、菁英人才和创新人才。所称引进人才，是指按市委、市政府统筹安排，组织人事部门统一组织引进或用人单位经批准自主招聘引进的高层次人才。</w:t>
            </w:r>
          </w:p>
          <w:p>
            <w:pPr>
              <w:pStyle w:val="2"/>
              <w:keepNext w:val="0"/>
              <w:keepLines w:val="0"/>
              <w:widowControl/>
              <w:suppressLineNumbers w:val="0"/>
              <w:spacing w:line="360" w:lineRule="auto"/>
            </w:pPr>
            <w:r>
              <w:rPr>
                <w:rFonts w:hint="eastAsia" w:ascii="宋体" w:hAnsi="宋体" w:eastAsia="宋体" w:cs="宋体"/>
                <w:sz w:val="18"/>
                <w:szCs w:val="18"/>
              </w:rPr>
              <w:t>第三条人才安居坚持“突出高端、重点支持”原则，对我市高层次人才提供安居保障。对个别特殊高层次人才安居保障可采取“一事一议”方式解决。</w:t>
            </w:r>
          </w:p>
          <w:p>
            <w:pPr>
              <w:pStyle w:val="2"/>
              <w:keepNext w:val="0"/>
              <w:keepLines w:val="0"/>
              <w:widowControl/>
              <w:suppressLineNumbers w:val="0"/>
              <w:spacing w:line="360" w:lineRule="auto"/>
            </w:pPr>
            <w:r>
              <w:rPr>
                <w:rFonts w:hint="eastAsia" w:ascii="宋体" w:hAnsi="宋体" w:eastAsia="宋体" w:cs="宋体"/>
                <w:sz w:val="18"/>
                <w:szCs w:val="18"/>
              </w:rPr>
              <w:t>第四条本办法适用于眉山市行政区划内各类企事业单位、非公有制经济组织和社会组织，其他有关机关事业单位。</w:t>
            </w:r>
          </w:p>
          <w:p>
            <w:pPr>
              <w:pStyle w:val="2"/>
              <w:keepNext w:val="0"/>
              <w:keepLines w:val="0"/>
              <w:widowControl/>
              <w:suppressLineNumbers w:val="0"/>
              <w:spacing w:line="360" w:lineRule="auto"/>
            </w:pPr>
            <w:r>
              <w:rPr>
                <w:rFonts w:hint="eastAsia" w:ascii="宋体" w:hAnsi="宋体" w:eastAsia="宋体" w:cs="宋体"/>
                <w:sz w:val="18"/>
                <w:szCs w:val="18"/>
              </w:rPr>
              <w:t>第二章居住保障</w:t>
            </w:r>
          </w:p>
          <w:p>
            <w:pPr>
              <w:pStyle w:val="2"/>
              <w:keepNext w:val="0"/>
              <w:keepLines w:val="0"/>
              <w:widowControl/>
              <w:suppressLineNumbers w:val="0"/>
              <w:spacing w:line="360" w:lineRule="auto"/>
            </w:pPr>
            <w:r>
              <w:rPr>
                <w:rFonts w:hint="eastAsia" w:ascii="宋体" w:hAnsi="宋体" w:eastAsia="宋体" w:cs="宋体"/>
                <w:sz w:val="18"/>
                <w:szCs w:val="18"/>
              </w:rPr>
              <w:t>第五条由市住房城乡建设局会同眉山发展公司统筹筹集房源，打造一批人才公寓，可直接拎包入住。鼓励各县（区）、产业园区按照有关规划自建人才公寓。</w:t>
            </w:r>
          </w:p>
          <w:p>
            <w:pPr>
              <w:pStyle w:val="2"/>
              <w:keepNext w:val="0"/>
              <w:keepLines w:val="0"/>
              <w:widowControl/>
              <w:suppressLineNumbers w:val="0"/>
              <w:spacing w:line="360" w:lineRule="auto"/>
            </w:pPr>
            <w:r>
              <w:rPr>
                <w:rFonts w:hint="eastAsia" w:ascii="宋体" w:hAnsi="宋体" w:eastAsia="宋体" w:cs="宋体"/>
                <w:sz w:val="18"/>
                <w:szCs w:val="18"/>
              </w:rPr>
              <w:t>第六条对从市外引进人才，在眉山市中心城区及市管园区创业工作，没有稳定住所的，可按以下标准申请居住中心城区免租金住房：</w:t>
            </w:r>
          </w:p>
          <w:p>
            <w:pPr>
              <w:pStyle w:val="2"/>
              <w:keepNext w:val="0"/>
              <w:keepLines w:val="0"/>
              <w:widowControl/>
              <w:suppressLineNumbers w:val="0"/>
              <w:spacing w:line="360" w:lineRule="auto"/>
            </w:pPr>
            <w:r>
              <w:rPr>
                <w:rFonts w:hint="eastAsia" w:ascii="宋体" w:hAnsi="宋体" w:eastAsia="宋体" w:cs="宋体"/>
                <w:sz w:val="18"/>
                <w:szCs w:val="18"/>
              </w:rPr>
              <w:t>顶尖人才、杰出人才，长期免租金租住人才公寓住房；</w:t>
            </w:r>
          </w:p>
          <w:p>
            <w:pPr>
              <w:pStyle w:val="2"/>
              <w:keepNext w:val="0"/>
              <w:keepLines w:val="0"/>
              <w:widowControl/>
              <w:suppressLineNumbers w:val="0"/>
              <w:spacing w:line="360" w:lineRule="auto"/>
            </w:pPr>
            <w:r>
              <w:rPr>
                <w:rFonts w:hint="eastAsia" w:ascii="宋体" w:hAnsi="宋体" w:eastAsia="宋体" w:cs="宋体"/>
                <w:sz w:val="18"/>
                <w:szCs w:val="18"/>
              </w:rPr>
              <w:t>领军人才，免五年租金租住人才公寓住房；</w:t>
            </w:r>
          </w:p>
          <w:p>
            <w:pPr>
              <w:pStyle w:val="2"/>
              <w:keepNext w:val="0"/>
              <w:keepLines w:val="0"/>
              <w:widowControl/>
              <w:suppressLineNumbers w:val="0"/>
              <w:spacing w:line="360" w:lineRule="auto"/>
            </w:pPr>
            <w:r>
              <w:rPr>
                <w:rFonts w:hint="eastAsia" w:ascii="宋体" w:hAnsi="宋体" w:eastAsia="宋体" w:cs="宋体"/>
                <w:sz w:val="18"/>
                <w:szCs w:val="18"/>
              </w:rPr>
              <w:t>菁英人才，免三年租金租住人才公寓住房</w:t>
            </w:r>
          </w:p>
          <w:p>
            <w:pPr>
              <w:pStyle w:val="2"/>
              <w:keepNext w:val="0"/>
              <w:keepLines w:val="0"/>
              <w:widowControl/>
              <w:suppressLineNumbers w:val="0"/>
              <w:spacing w:line="360" w:lineRule="auto"/>
            </w:pPr>
            <w:r>
              <w:rPr>
                <w:rFonts w:hint="eastAsia" w:ascii="宋体" w:hAnsi="宋体" w:eastAsia="宋体" w:cs="宋体"/>
                <w:sz w:val="18"/>
                <w:szCs w:val="18"/>
              </w:rPr>
              <w:t>创新人才，由用人单位免费提供一年住房。</w:t>
            </w:r>
          </w:p>
          <w:p>
            <w:pPr>
              <w:pStyle w:val="2"/>
              <w:keepNext w:val="0"/>
              <w:keepLines w:val="0"/>
              <w:widowControl/>
              <w:suppressLineNumbers w:val="0"/>
              <w:spacing w:line="360" w:lineRule="auto"/>
            </w:pPr>
            <w:r>
              <w:rPr>
                <w:rFonts w:hint="eastAsia" w:ascii="宋体" w:hAnsi="宋体" w:eastAsia="宋体" w:cs="宋体"/>
                <w:sz w:val="18"/>
                <w:szCs w:val="18"/>
              </w:rPr>
              <w:t>第七条申请免租金租住人才公寓住房按以下程序办理：</w:t>
            </w:r>
          </w:p>
          <w:p>
            <w:pPr>
              <w:pStyle w:val="2"/>
              <w:keepNext w:val="0"/>
              <w:keepLines w:val="0"/>
              <w:widowControl/>
              <w:suppressLineNumbers w:val="0"/>
              <w:spacing w:line="360" w:lineRule="auto"/>
            </w:pPr>
            <w:r>
              <w:rPr>
                <w:rFonts w:hint="eastAsia" w:ascii="宋体" w:hAnsi="宋体" w:eastAsia="宋体" w:cs="宋体"/>
                <w:sz w:val="18"/>
                <w:szCs w:val="18"/>
              </w:rPr>
              <w:t>（一）本人提出申请，用人单位初审并作出担保；</w:t>
            </w:r>
          </w:p>
          <w:p>
            <w:pPr>
              <w:pStyle w:val="2"/>
              <w:keepNext w:val="0"/>
              <w:keepLines w:val="0"/>
              <w:widowControl/>
              <w:suppressLineNumbers w:val="0"/>
              <w:spacing w:line="360" w:lineRule="auto"/>
            </w:pPr>
            <w:r>
              <w:rPr>
                <w:rFonts w:hint="eastAsia" w:ascii="宋体" w:hAnsi="宋体" w:eastAsia="宋体" w:cs="宋体"/>
                <w:sz w:val="18"/>
                <w:szCs w:val="18"/>
              </w:rPr>
              <w:t>（二）人力资源社会保障部门、人才办审核；</w:t>
            </w:r>
          </w:p>
          <w:p>
            <w:pPr>
              <w:pStyle w:val="2"/>
              <w:keepNext w:val="0"/>
              <w:keepLines w:val="0"/>
              <w:widowControl/>
              <w:suppressLineNumbers w:val="0"/>
              <w:spacing w:line="360" w:lineRule="auto"/>
            </w:pPr>
            <w:r>
              <w:rPr>
                <w:rFonts w:hint="eastAsia" w:ascii="宋体" w:hAnsi="宋体" w:eastAsia="宋体" w:cs="宋体"/>
                <w:sz w:val="18"/>
                <w:szCs w:val="18"/>
              </w:rPr>
              <w:t>（三）本人与人才公寓管理部门签订免租金租房协议。</w:t>
            </w:r>
          </w:p>
          <w:p>
            <w:pPr>
              <w:pStyle w:val="2"/>
              <w:keepNext w:val="0"/>
              <w:keepLines w:val="0"/>
              <w:widowControl/>
              <w:suppressLineNumbers w:val="0"/>
              <w:spacing w:line="360" w:lineRule="auto"/>
            </w:pPr>
            <w:r>
              <w:rPr>
                <w:rFonts w:hint="eastAsia" w:ascii="宋体" w:hAnsi="宋体" w:eastAsia="宋体" w:cs="宋体"/>
                <w:sz w:val="18"/>
                <w:szCs w:val="18"/>
              </w:rPr>
              <w:t>第八条由市住房城乡建设局、眉山发展公司牵头，通过建设、购置、租赁等方式打造一批高层次专家周转房，对柔性引进在眉连续工作两个月以上的高层次专家提供安居服务。</w:t>
            </w:r>
          </w:p>
          <w:p>
            <w:pPr>
              <w:pStyle w:val="2"/>
              <w:keepNext w:val="0"/>
              <w:keepLines w:val="0"/>
              <w:widowControl/>
              <w:suppressLineNumbers w:val="0"/>
              <w:spacing w:line="360" w:lineRule="auto"/>
            </w:pPr>
            <w:r>
              <w:rPr>
                <w:rFonts w:hint="eastAsia" w:ascii="宋体" w:hAnsi="宋体" w:eastAsia="宋体" w:cs="宋体"/>
                <w:sz w:val="18"/>
                <w:szCs w:val="18"/>
              </w:rPr>
              <w:t>第九条在住房公积金缴存、提取、贷款等方面给予人才相应优惠。符合条件的人才可在本市缴存使用住房公积金；购买眉山市内的自住住房且无住房公积金贷款的，每年可提取一次本人及其配偶住房公积金账户内的存储余额；租房可按实际支付费用提取；申贷缴存时限缩短为一个月，贷款额度提高到购房总价款的60%（不超过70万元）。具体办法由市住房公积金管理中心另行制定。</w:t>
            </w:r>
          </w:p>
          <w:p>
            <w:pPr>
              <w:pStyle w:val="2"/>
              <w:keepNext w:val="0"/>
              <w:keepLines w:val="0"/>
              <w:widowControl/>
              <w:suppressLineNumbers w:val="0"/>
              <w:spacing w:line="360" w:lineRule="auto"/>
            </w:pPr>
            <w:r>
              <w:rPr>
                <w:rFonts w:hint="eastAsia" w:ascii="宋体" w:hAnsi="宋体" w:eastAsia="宋体" w:cs="宋体"/>
                <w:sz w:val="18"/>
                <w:szCs w:val="18"/>
              </w:rPr>
              <w:t>第三章安家补助</w:t>
            </w:r>
          </w:p>
          <w:p>
            <w:pPr>
              <w:pStyle w:val="2"/>
              <w:keepNext w:val="0"/>
              <w:keepLines w:val="0"/>
              <w:widowControl/>
              <w:suppressLineNumbers w:val="0"/>
              <w:spacing w:line="360" w:lineRule="auto"/>
            </w:pPr>
            <w:r>
              <w:rPr>
                <w:rFonts w:hint="eastAsia" w:ascii="宋体" w:hAnsi="宋体" w:eastAsia="宋体" w:cs="宋体"/>
                <w:sz w:val="18"/>
                <w:szCs w:val="18"/>
              </w:rPr>
              <w:t>第十条对从市外引进人才，经审核同意后，按下列标准给予安家补助：</w:t>
            </w:r>
          </w:p>
          <w:p>
            <w:pPr>
              <w:pStyle w:val="2"/>
              <w:keepNext w:val="0"/>
              <w:keepLines w:val="0"/>
              <w:widowControl/>
              <w:suppressLineNumbers w:val="0"/>
              <w:spacing w:line="360" w:lineRule="auto"/>
            </w:pPr>
            <w:r>
              <w:rPr>
                <w:rFonts w:hint="eastAsia" w:ascii="宋体" w:hAnsi="宋体" w:eastAsia="宋体" w:cs="宋体"/>
                <w:sz w:val="18"/>
                <w:szCs w:val="18"/>
              </w:rPr>
              <w:t>顶尖人才，每人100万元，一次性发放。</w:t>
            </w:r>
          </w:p>
          <w:p>
            <w:pPr>
              <w:pStyle w:val="2"/>
              <w:keepNext w:val="0"/>
              <w:keepLines w:val="0"/>
              <w:widowControl/>
              <w:suppressLineNumbers w:val="0"/>
              <w:spacing w:line="360" w:lineRule="auto"/>
            </w:pPr>
            <w:r>
              <w:rPr>
                <w:rFonts w:hint="eastAsia" w:ascii="宋体" w:hAnsi="宋体" w:eastAsia="宋体" w:cs="宋体"/>
                <w:sz w:val="18"/>
                <w:szCs w:val="18"/>
              </w:rPr>
              <w:t>杰出人才，每人50万元，一次性发放。</w:t>
            </w:r>
          </w:p>
          <w:p>
            <w:pPr>
              <w:pStyle w:val="2"/>
              <w:keepNext w:val="0"/>
              <w:keepLines w:val="0"/>
              <w:widowControl/>
              <w:suppressLineNumbers w:val="0"/>
              <w:spacing w:line="360" w:lineRule="auto"/>
            </w:pPr>
            <w:r>
              <w:rPr>
                <w:rFonts w:hint="eastAsia" w:ascii="宋体" w:hAnsi="宋体" w:eastAsia="宋体" w:cs="宋体"/>
                <w:sz w:val="18"/>
                <w:szCs w:val="18"/>
              </w:rPr>
              <w:t>领军人才，每人30万元，一次性发放。</w:t>
            </w:r>
          </w:p>
          <w:p>
            <w:pPr>
              <w:pStyle w:val="2"/>
              <w:keepNext w:val="0"/>
              <w:keepLines w:val="0"/>
              <w:widowControl/>
              <w:suppressLineNumbers w:val="0"/>
              <w:spacing w:line="360" w:lineRule="auto"/>
            </w:pPr>
            <w:r>
              <w:rPr>
                <w:rFonts w:hint="eastAsia" w:ascii="宋体" w:hAnsi="宋体" w:eastAsia="宋体" w:cs="宋体"/>
                <w:sz w:val="18"/>
                <w:szCs w:val="18"/>
              </w:rPr>
              <w:t>菁英人才，每人10万元，一次性发放。</w:t>
            </w:r>
          </w:p>
          <w:p>
            <w:pPr>
              <w:pStyle w:val="2"/>
              <w:keepNext w:val="0"/>
              <w:keepLines w:val="0"/>
              <w:widowControl/>
              <w:suppressLineNumbers w:val="0"/>
              <w:spacing w:line="360" w:lineRule="auto"/>
            </w:pPr>
            <w:r>
              <w:rPr>
                <w:rFonts w:hint="eastAsia" w:ascii="宋体" w:hAnsi="宋体" w:eastAsia="宋体" w:cs="宋体"/>
                <w:sz w:val="18"/>
                <w:szCs w:val="18"/>
              </w:rPr>
              <w:t>创新人才，三年内每人每年发放两万元。</w:t>
            </w:r>
          </w:p>
          <w:p>
            <w:pPr>
              <w:pStyle w:val="2"/>
              <w:keepNext w:val="0"/>
              <w:keepLines w:val="0"/>
              <w:widowControl/>
              <w:suppressLineNumbers w:val="0"/>
              <w:spacing w:line="360" w:lineRule="auto"/>
            </w:pPr>
            <w:r>
              <w:rPr>
                <w:rFonts w:hint="eastAsia" w:ascii="宋体" w:hAnsi="宋体" w:eastAsia="宋体" w:cs="宋体"/>
                <w:sz w:val="18"/>
                <w:szCs w:val="18"/>
              </w:rPr>
              <w:t>第十一条符合五类人才多款条件的，按最高类别计发，不重复发放。夫妻双方同属享受安家补助条件的，按一方全额、一方半额标准发放。</w:t>
            </w:r>
          </w:p>
          <w:p>
            <w:pPr>
              <w:pStyle w:val="2"/>
              <w:keepNext w:val="0"/>
              <w:keepLines w:val="0"/>
              <w:widowControl/>
              <w:suppressLineNumbers w:val="0"/>
              <w:spacing w:line="360" w:lineRule="auto"/>
            </w:pPr>
            <w:r>
              <w:rPr>
                <w:rFonts w:hint="eastAsia" w:ascii="宋体" w:hAnsi="宋体" w:eastAsia="宋体" w:cs="宋体"/>
                <w:sz w:val="18"/>
                <w:szCs w:val="18"/>
              </w:rPr>
              <w:t>第四章生活补贴</w:t>
            </w:r>
          </w:p>
          <w:p>
            <w:pPr>
              <w:pStyle w:val="2"/>
              <w:keepNext w:val="0"/>
              <w:keepLines w:val="0"/>
              <w:widowControl/>
              <w:suppressLineNumbers w:val="0"/>
              <w:spacing w:line="360" w:lineRule="auto"/>
            </w:pPr>
            <w:r>
              <w:rPr>
                <w:rFonts w:hint="eastAsia" w:ascii="宋体" w:hAnsi="宋体" w:eastAsia="宋体" w:cs="宋体"/>
                <w:sz w:val="18"/>
                <w:szCs w:val="18"/>
              </w:rPr>
              <w:t>第十二条对从市外引进和在眉创业工作的人才，经审核批准后，按以下标准发放生活补贴：</w:t>
            </w:r>
          </w:p>
          <w:p>
            <w:pPr>
              <w:pStyle w:val="2"/>
              <w:keepNext w:val="0"/>
              <w:keepLines w:val="0"/>
              <w:widowControl/>
              <w:suppressLineNumbers w:val="0"/>
              <w:spacing w:line="360" w:lineRule="auto"/>
            </w:pPr>
            <w:r>
              <w:rPr>
                <w:rFonts w:hint="eastAsia" w:ascii="宋体" w:hAnsi="宋体" w:eastAsia="宋体" w:cs="宋体"/>
                <w:sz w:val="18"/>
                <w:szCs w:val="18"/>
              </w:rPr>
              <w:t>顶尖人才，每人每月3000元。</w:t>
            </w:r>
          </w:p>
          <w:p>
            <w:pPr>
              <w:pStyle w:val="2"/>
              <w:keepNext w:val="0"/>
              <w:keepLines w:val="0"/>
              <w:widowControl/>
              <w:suppressLineNumbers w:val="0"/>
              <w:spacing w:line="360" w:lineRule="auto"/>
            </w:pPr>
            <w:r>
              <w:rPr>
                <w:rFonts w:hint="eastAsia" w:ascii="宋体" w:hAnsi="宋体" w:eastAsia="宋体" w:cs="宋体"/>
                <w:sz w:val="18"/>
                <w:szCs w:val="18"/>
              </w:rPr>
              <w:t>杰出人才，每人每月2000元。</w:t>
            </w:r>
          </w:p>
          <w:p>
            <w:pPr>
              <w:pStyle w:val="2"/>
              <w:keepNext w:val="0"/>
              <w:keepLines w:val="0"/>
              <w:widowControl/>
              <w:suppressLineNumbers w:val="0"/>
              <w:spacing w:line="360" w:lineRule="auto"/>
            </w:pPr>
            <w:r>
              <w:rPr>
                <w:rFonts w:hint="eastAsia" w:ascii="宋体" w:hAnsi="宋体" w:eastAsia="宋体" w:cs="宋体"/>
                <w:sz w:val="18"/>
                <w:szCs w:val="18"/>
              </w:rPr>
              <w:t>领军人才，每人每月1500元。</w:t>
            </w:r>
          </w:p>
          <w:p>
            <w:pPr>
              <w:pStyle w:val="2"/>
              <w:keepNext w:val="0"/>
              <w:keepLines w:val="0"/>
              <w:widowControl/>
              <w:suppressLineNumbers w:val="0"/>
              <w:spacing w:line="360" w:lineRule="auto"/>
            </w:pPr>
            <w:r>
              <w:rPr>
                <w:rFonts w:hint="eastAsia" w:ascii="宋体" w:hAnsi="宋体" w:eastAsia="宋体" w:cs="宋体"/>
                <w:sz w:val="18"/>
                <w:szCs w:val="18"/>
              </w:rPr>
              <w:t>第十三条纳税关系在市本级的规模以上企业，具有副高级及以上专业技术职称和硕士研究生及以上学历，以及在一线岗位从事本技能工作的高级技师等人才，按下列标准发放生活补贴：</w:t>
            </w:r>
          </w:p>
          <w:p>
            <w:pPr>
              <w:pStyle w:val="2"/>
              <w:keepNext w:val="0"/>
              <w:keepLines w:val="0"/>
              <w:widowControl/>
              <w:suppressLineNumbers w:val="0"/>
              <w:spacing w:line="360" w:lineRule="auto"/>
            </w:pPr>
            <w:r>
              <w:rPr>
                <w:rFonts w:hint="eastAsia" w:ascii="宋体" w:hAnsi="宋体" w:eastAsia="宋体" w:cs="宋体"/>
                <w:sz w:val="18"/>
                <w:szCs w:val="18"/>
              </w:rPr>
              <w:t>（一）正高级专业技术职称、博士研究生800元/月；</w:t>
            </w:r>
          </w:p>
          <w:p>
            <w:pPr>
              <w:pStyle w:val="2"/>
              <w:keepNext w:val="0"/>
              <w:keepLines w:val="0"/>
              <w:widowControl/>
              <w:suppressLineNumbers w:val="0"/>
              <w:spacing w:line="360" w:lineRule="auto"/>
            </w:pPr>
            <w:r>
              <w:rPr>
                <w:rFonts w:hint="eastAsia" w:ascii="宋体" w:hAnsi="宋体" w:eastAsia="宋体" w:cs="宋体"/>
                <w:sz w:val="18"/>
                <w:szCs w:val="18"/>
              </w:rPr>
              <w:t>（二）副高级专业技术职称、高级技师（国家职业资格一级）500元/月；</w:t>
            </w:r>
          </w:p>
          <w:p>
            <w:pPr>
              <w:pStyle w:val="2"/>
              <w:keepNext w:val="0"/>
              <w:keepLines w:val="0"/>
              <w:widowControl/>
              <w:suppressLineNumbers w:val="0"/>
              <w:spacing w:line="360" w:lineRule="auto"/>
            </w:pPr>
            <w:r>
              <w:rPr>
                <w:rFonts w:hint="eastAsia" w:ascii="宋体" w:hAnsi="宋体" w:eastAsia="宋体" w:cs="宋体"/>
                <w:sz w:val="18"/>
                <w:szCs w:val="18"/>
              </w:rPr>
              <w:t>（三）硕士研究生400元/月。</w:t>
            </w:r>
          </w:p>
          <w:p>
            <w:pPr>
              <w:pStyle w:val="2"/>
              <w:keepNext w:val="0"/>
              <w:keepLines w:val="0"/>
              <w:widowControl/>
              <w:suppressLineNumbers w:val="0"/>
              <w:spacing w:line="360" w:lineRule="auto"/>
            </w:pPr>
            <w:r>
              <w:rPr>
                <w:rFonts w:hint="eastAsia" w:ascii="宋体" w:hAnsi="宋体" w:eastAsia="宋体" w:cs="宋体"/>
                <w:sz w:val="18"/>
                <w:szCs w:val="18"/>
              </w:rPr>
              <w:t>第十四条有管理期的人才，生活补贴在管理期内每年计发一次。无管理期的人才，生活补贴发放三年。符合多款条件的，按最高类别计发，不重复享受。</w:t>
            </w:r>
          </w:p>
          <w:p>
            <w:pPr>
              <w:pStyle w:val="2"/>
              <w:keepNext w:val="0"/>
              <w:keepLines w:val="0"/>
              <w:widowControl/>
              <w:suppressLineNumbers w:val="0"/>
              <w:spacing w:line="360" w:lineRule="auto"/>
            </w:pPr>
            <w:r>
              <w:rPr>
                <w:rFonts w:hint="eastAsia" w:ascii="宋体" w:hAnsi="宋体" w:eastAsia="宋体" w:cs="宋体"/>
                <w:sz w:val="18"/>
                <w:szCs w:val="18"/>
              </w:rPr>
              <w:t>第十五条引进人才与用人单位解除合同后，用人单位须在七日内向市人才办报告备案，停止执行人才享受的生活补贴。</w:t>
            </w:r>
          </w:p>
          <w:p>
            <w:pPr>
              <w:pStyle w:val="2"/>
              <w:keepNext w:val="0"/>
              <w:keepLines w:val="0"/>
              <w:widowControl/>
              <w:suppressLineNumbers w:val="0"/>
              <w:spacing w:line="360" w:lineRule="auto"/>
            </w:pPr>
            <w:r>
              <w:rPr>
                <w:rFonts w:hint="eastAsia" w:ascii="宋体" w:hAnsi="宋体" w:eastAsia="宋体" w:cs="宋体"/>
                <w:sz w:val="18"/>
                <w:szCs w:val="18"/>
              </w:rPr>
              <w:t>第五章服务管理</w:t>
            </w:r>
          </w:p>
          <w:p>
            <w:pPr>
              <w:pStyle w:val="2"/>
              <w:keepNext w:val="0"/>
              <w:keepLines w:val="0"/>
              <w:widowControl/>
              <w:suppressLineNumbers w:val="0"/>
              <w:spacing w:line="360" w:lineRule="auto"/>
            </w:pPr>
            <w:r>
              <w:rPr>
                <w:rFonts w:hint="eastAsia" w:ascii="宋体" w:hAnsi="宋体" w:eastAsia="宋体" w:cs="宋体"/>
                <w:sz w:val="18"/>
                <w:szCs w:val="18"/>
              </w:rPr>
              <w:t>第十六条享受人才安居保障政策的高层次人才，须与市内用人单位签订五年以上工作合同，或携项目、资金、技术到我市创办企业且在当地已办理工商登记。</w:t>
            </w:r>
          </w:p>
          <w:p>
            <w:pPr>
              <w:pStyle w:val="2"/>
              <w:keepNext w:val="0"/>
              <w:keepLines w:val="0"/>
              <w:widowControl/>
              <w:suppressLineNumbers w:val="0"/>
              <w:spacing w:line="360" w:lineRule="auto"/>
            </w:pPr>
            <w:r>
              <w:rPr>
                <w:rFonts w:hint="eastAsia" w:ascii="宋体" w:hAnsi="宋体" w:eastAsia="宋体" w:cs="宋体"/>
                <w:sz w:val="18"/>
                <w:szCs w:val="18"/>
              </w:rPr>
              <w:t>第十七条人才安家补助、生活补贴原则上每年集中办理一次，按以下程序办理：</w:t>
            </w:r>
          </w:p>
          <w:p>
            <w:pPr>
              <w:pStyle w:val="2"/>
              <w:keepNext w:val="0"/>
              <w:keepLines w:val="0"/>
              <w:widowControl/>
              <w:suppressLineNumbers w:val="0"/>
              <w:spacing w:line="360" w:lineRule="auto"/>
            </w:pPr>
            <w:r>
              <w:rPr>
                <w:rFonts w:hint="eastAsia" w:ascii="宋体" w:hAnsi="宋体" w:eastAsia="宋体" w:cs="宋体"/>
                <w:sz w:val="18"/>
                <w:szCs w:val="18"/>
              </w:rPr>
              <w:t>（一）用人单位初审，主管部门签署意见；</w:t>
            </w:r>
          </w:p>
          <w:p>
            <w:pPr>
              <w:pStyle w:val="2"/>
              <w:keepNext w:val="0"/>
              <w:keepLines w:val="0"/>
              <w:widowControl/>
              <w:suppressLineNumbers w:val="0"/>
              <w:spacing w:line="360" w:lineRule="auto"/>
            </w:pPr>
            <w:r>
              <w:rPr>
                <w:rFonts w:hint="eastAsia" w:ascii="宋体" w:hAnsi="宋体" w:eastAsia="宋体" w:cs="宋体"/>
                <w:sz w:val="18"/>
                <w:szCs w:val="18"/>
              </w:rPr>
              <w:t>（二）人力资源社会保障部门、财政部门、人才办审核；</w:t>
            </w:r>
          </w:p>
          <w:p>
            <w:pPr>
              <w:pStyle w:val="2"/>
              <w:keepNext w:val="0"/>
              <w:keepLines w:val="0"/>
              <w:widowControl/>
              <w:suppressLineNumbers w:val="0"/>
              <w:spacing w:line="360" w:lineRule="auto"/>
            </w:pPr>
            <w:r>
              <w:rPr>
                <w:rFonts w:hint="eastAsia" w:ascii="宋体" w:hAnsi="宋体" w:eastAsia="宋体" w:cs="宋体"/>
                <w:sz w:val="18"/>
                <w:szCs w:val="18"/>
              </w:rPr>
              <w:t>（三）市或县（区）政府审批；</w:t>
            </w:r>
          </w:p>
          <w:p>
            <w:pPr>
              <w:pStyle w:val="2"/>
              <w:keepNext w:val="0"/>
              <w:keepLines w:val="0"/>
              <w:widowControl/>
              <w:suppressLineNumbers w:val="0"/>
              <w:spacing w:line="360" w:lineRule="auto"/>
            </w:pPr>
            <w:r>
              <w:rPr>
                <w:rFonts w:hint="eastAsia" w:ascii="宋体" w:hAnsi="宋体" w:eastAsia="宋体" w:cs="宋体"/>
                <w:sz w:val="18"/>
                <w:szCs w:val="18"/>
              </w:rPr>
              <w:t>（四）财政部门拨付资金到用人单位，及时发放。</w:t>
            </w:r>
          </w:p>
          <w:p>
            <w:pPr>
              <w:pStyle w:val="2"/>
              <w:keepNext w:val="0"/>
              <w:keepLines w:val="0"/>
              <w:widowControl/>
              <w:suppressLineNumbers w:val="0"/>
              <w:spacing w:line="360" w:lineRule="auto"/>
            </w:pPr>
            <w:r>
              <w:rPr>
                <w:rFonts w:hint="eastAsia" w:ascii="宋体" w:hAnsi="宋体" w:eastAsia="宋体" w:cs="宋体"/>
                <w:sz w:val="18"/>
                <w:szCs w:val="18"/>
              </w:rPr>
              <w:t>第十八条五年内因个人原因解除合同的，须按比例退回已享受的安家补助，补助经费由用人单位配合收回，并按资金来源渠道予以上缴。</w:t>
            </w:r>
          </w:p>
          <w:p>
            <w:pPr>
              <w:pStyle w:val="2"/>
              <w:keepNext w:val="0"/>
              <w:keepLines w:val="0"/>
              <w:widowControl/>
              <w:suppressLineNumbers w:val="0"/>
              <w:spacing w:line="360" w:lineRule="auto"/>
            </w:pPr>
            <w:r>
              <w:rPr>
                <w:rFonts w:hint="eastAsia" w:ascii="宋体" w:hAnsi="宋体" w:eastAsia="宋体" w:cs="宋体"/>
                <w:sz w:val="18"/>
                <w:szCs w:val="18"/>
              </w:rPr>
              <w:t>第十九条已享受四川省有关人才安居政策的人才，不再享受本办法相关政策。引进和在职人才是公务员的，按公务员管理相关规定执行补助政策。急需紧缺专业选调生，按照选调生管理办法规定的安居政策执行。</w:t>
            </w:r>
          </w:p>
          <w:p>
            <w:pPr>
              <w:pStyle w:val="2"/>
              <w:keepNext w:val="0"/>
              <w:keepLines w:val="0"/>
              <w:widowControl/>
              <w:suppressLineNumbers w:val="0"/>
              <w:spacing w:line="360" w:lineRule="auto"/>
            </w:pPr>
            <w:r>
              <w:rPr>
                <w:rFonts w:hint="eastAsia" w:ascii="宋体" w:hAnsi="宋体" w:eastAsia="宋体" w:cs="宋体"/>
                <w:sz w:val="18"/>
                <w:szCs w:val="18"/>
              </w:rPr>
              <w:t>第二十条申报享受高层次人才安居保障政策的企业，应是在我市范围内注册登记，具有独立法人资格，处于正常生产状态且缴纳税收不得低于上年度的规上企业。由市经济和信息化委进行判定并出具意见。</w:t>
            </w:r>
          </w:p>
          <w:p>
            <w:pPr>
              <w:pStyle w:val="2"/>
              <w:keepNext w:val="0"/>
              <w:keepLines w:val="0"/>
              <w:widowControl/>
              <w:suppressLineNumbers w:val="0"/>
              <w:spacing w:line="360" w:lineRule="auto"/>
            </w:pPr>
            <w:r>
              <w:rPr>
                <w:rFonts w:hint="eastAsia" w:ascii="宋体" w:hAnsi="宋体" w:eastAsia="宋体" w:cs="宋体"/>
                <w:sz w:val="18"/>
                <w:szCs w:val="18"/>
              </w:rPr>
              <w:t>第二十一条用人单位和申请人在申请人才安居政策支持时，严禁弄虚作假。对违反规定的，一经发现，取消其享受的待遇，不再受理其安居申请。情节严重的，将依法追究相关单位和责任人的责任。</w:t>
            </w:r>
          </w:p>
          <w:p>
            <w:pPr>
              <w:pStyle w:val="2"/>
              <w:keepNext w:val="0"/>
              <w:keepLines w:val="0"/>
              <w:widowControl/>
              <w:suppressLineNumbers w:val="0"/>
              <w:spacing w:line="360" w:lineRule="auto"/>
            </w:pPr>
            <w:r>
              <w:rPr>
                <w:rFonts w:hint="eastAsia" w:ascii="宋体" w:hAnsi="宋体" w:eastAsia="宋体" w:cs="宋体"/>
                <w:sz w:val="18"/>
                <w:szCs w:val="18"/>
              </w:rPr>
              <w:t>第二十二条本办法所需经费由市财政局按照分级负责原则核算落实。</w:t>
            </w:r>
          </w:p>
          <w:p>
            <w:pPr>
              <w:pStyle w:val="2"/>
              <w:keepNext w:val="0"/>
              <w:keepLines w:val="0"/>
              <w:widowControl/>
              <w:suppressLineNumbers w:val="0"/>
              <w:spacing w:line="360" w:lineRule="auto"/>
            </w:pPr>
            <w:r>
              <w:rPr>
                <w:rFonts w:hint="eastAsia" w:ascii="宋体" w:hAnsi="宋体" w:eastAsia="宋体" w:cs="宋体"/>
                <w:sz w:val="18"/>
                <w:szCs w:val="18"/>
              </w:rPr>
              <w:t>第六章附则</w:t>
            </w:r>
          </w:p>
          <w:p>
            <w:pPr>
              <w:pStyle w:val="2"/>
              <w:keepNext w:val="0"/>
              <w:keepLines w:val="0"/>
              <w:widowControl/>
              <w:suppressLineNumbers w:val="0"/>
              <w:spacing w:line="360" w:lineRule="auto"/>
            </w:pPr>
            <w:r>
              <w:rPr>
                <w:rFonts w:hint="eastAsia" w:ascii="宋体" w:hAnsi="宋体" w:eastAsia="宋体" w:cs="宋体"/>
                <w:sz w:val="18"/>
                <w:szCs w:val="18"/>
              </w:rPr>
              <w:t>第二十三条各县（区）参照本办法，结合实际制定相应的人才安居保障政策。</w:t>
            </w:r>
          </w:p>
          <w:p>
            <w:pPr>
              <w:pStyle w:val="2"/>
              <w:keepNext w:val="0"/>
              <w:keepLines w:val="0"/>
              <w:widowControl/>
              <w:suppressLineNumbers w:val="0"/>
              <w:spacing w:line="360" w:lineRule="auto"/>
            </w:pPr>
            <w:r>
              <w:rPr>
                <w:rFonts w:hint="eastAsia" w:ascii="宋体" w:hAnsi="宋体" w:eastAsia="宋体" w:cs="宋体"/>
                <w:sz w:val="18"/>
                <w:szCs w:val="18"/>
              </w:rPr>
              <w:t>第二十四条本办法由市人才办商有关部门负责解释。此前有关规定与本办法不一致的，以本办法为准。</w:t>
            </w:r>
          </w:p>
          <w:p>
            <w:pPr>
              <w:pStyle w:val="2"/>
              <w:keepNext w:val="0"/>
              <w:keepLines w:val="0"/>
              <w:widowControl/>
              <w:suppressLineNumbers w:val="0"/>
              <w:spacing w:line="360" w:lineRule="auto"/>
            </w:pPr>
            <w:r>
              <w:rPr>
                <w:rFonts w:hint="eastAsia" w:ascii="宋体" w:hAnsi="宋体" w:eastAsia="宋体" w:cs="宋体"/>
                <w:sz w:val="18"/>
                <w:szCs w:val="18"/>
              </w:rPr>
              <w:t>第二十五条本办法自印发之日起施行，有效期两年。两年后，根据眉山经济社会发展情况和人才需求情况进行修订。</w:t>
            </w:r>
          </w:p>
          <w:p>
            <w:pPr>
              <w:pStyle w:val="2"/>
              <w:keepNext w:val="0"/>
              <w:keepLines w:val="0"/>
              <w:widowControl/>
              <w:suppressLineNumbers w:val="0"/>
              <w:spacing w:line="360" w:lineRule="auto"/>
            </w:pPr>
            <w:r>
              <w:rPr>
                <w:rFonts w:hint="eastAsia" w:ascii="宋体" w:hAnsi="宋体" w:eastAsia="宋体" w:cs="宋体"/>
                <w:sz w:val="18"/>
                <w:szCs w:val="18"/>
              </w:rPr>
              <w:t>天府眉山高端人才项目资助实施办法（试行）</w:t>
            </w:r>
          </w:p>
          <w:p>
            <w:pPr>
              <w:pStyle w:val="2"/>
              <w:keepNext w:val="0"/>
              <w:keepLines w:val="0"/>
              <w:widowControl/>
              <w:suppressLineNumbers w:val="0"/>
              <w:spacing w:line="360" w:lineRule="auto"/>
            </w:pPr>
            <w:r>
              <w:rPr>
                <w:rFonts w:hint="eastAsia" w:ascii="宋体" w:hAnsi="宋体" w:eastAsia="宋体" w:cs="宋体"/>
                <w:sz w:val="18"/>
                <w:szCs w:val="18"/>
              </w:rPr>
              <w:t>第一章总则</w:t>
            </w:r>
          </w:p>
          <w:p>
            <w:pPr>
              <w:pStyle w:val="2"/>
              <w:keepNext w:val="0"/>
              <w:keepLines w:val="0"/>
              <w:widowControl/>
              <w:suppressLineNumbers w:val="0"/>
              <w:spacing w:line="360" w:lineRule="auto"/>
            </w:pPr>
            <w:r>
              <w:rPr>
                <w:rFonts w:hint="eastAsia" w:ascii="宋体" w:hAnsi="宋体" w:eastAsia="宋体" w:cs="宋体"/>
                <w:sz w:val="18"/>
                <w:szCs w:val="18"/>
              </w:rPr>
              <w:t>第一条为深化人才发展体制机制改革，落实《“眉山优才工程”实施方案》（眉委办发电〔2017〕79号），加快引进一批高端人才及团队来眉山创新创业，促进眉山全面创新改革驱动转型发展，推动繁荣富裕美好眉山建设，制定本办法。</w:t>
            </w:r>
          </w:p>
          <w:p>
            <w:pPr>
              <w:pStyle w:val="2"/>
              <w:keepNext w:val="0"/>
              <w:keepLines w:val="0"/>
              <w:widowControl/>
              <w:suppressLineNumbers w:val="0"/>
              <w:spacing w:line="360" w:lineRule="auto"/>
            </w:pPr>
            <w:r>
              <w:rPr>
                <w:rFonts w:hint="eastAsia" w:ascii="宋体" w:hAnsi="宋体" w:eastAsia="宋体" w:cs="宋体"/>
                <w:sz w:val="18"/>
                <w:szCs w:val="18"/>
              </w:rPr>
              <w:t>第二条实施高端人才项目资助的主要目标是：围绕市委、市政府发展战略，突出环天府新区经济带，突出打造“3135”产业集群，面向国（境）外和市外发达地区，重点支持引进一批能够突破关键技术、发展新兴产业、引领创新发展的领军人才和高端创新创业团队，带动各地、各单位实施一批重大人才引进计划，为眉山新一轮发展跨越提供有力人才支撑。</w:t>
            </w:r>
          </w:p>
          <w:p>
            <w:pPr>
              <w:pStyle w:val="2"/>
              <w:keepNext w:val="0"/>
              <w:keepLines w:val="0"/>
              <w:widowControl/>
              <w:suppressLineNumbers w:val="0"/>
              <w:spacing w:line="360" w:lineRule="auto"/>
            </w:pPr>
            <w:r>
              <w:rPr>
                <w:rFonts w:hint="eastAsia" w:ascii="宋体" w:hAnsi="宋体" w:eastAsia="宋体" w:cs="宋体"/>
                <w:sz w:val="18"/>
                <w:szCs w:val="18"/>
              </w:rPr>
              <w:t>第三条实施高端人才项目资助的基本原则是：</w:t>
            </w:r>
          </w:p>
          <w:p>
            <w:pPr>
              <w:pStyle w:val="2"/>
              <w:keepNext w:val="0"/>
              <w:keepLines w:val="0"/>
              <w:widowControl/>
              <w:suppressLineNumbers w:val="0"/>
              <w:spacing w:line="360" w:lineRule="auto"/>
            </w:pPr>
            <w:r>
              <w:rPr>
                <w:rFonts w:hint="eastAsia" w:ascii="宋体" w:hAnsi="宋体" w:eastAsia="宋体" w:cs="宋体"/>
                <w:sz w:val="18"/>
                <w:szCs w:val="18"/>
              </w:rPr>
              <w:t>（一）围绕中心，服务发展；</w:t>
            </w:r>
          </w:p>
          <w:p>
            <w:pPr>
              <w:pStyle w:val="2"/>
              <w:keepNext w:val="0"/>
              <w:keepLines w:val="0"/>
              <w:widowControl/>
              <w:suppressLineNumbers w:val="0"/>
              <w:spacing w:line="360" w:lineRule="auto"/>
            </w:pPr>
            <w:r>
              <w:rPr>
                <w:rFonts w:hint="eastAsia" w:ascii="宋体" w:hAnsi="宋体" w:eastAsia="宋体" w:cs="宋体"/>
                <w:sz w:val="18"/>
                <w:szCs w:val="18"/>
              </w:rPr>
              <w:t>（二）坚持“高精尖缺”导向；</w:t>
            </w:r>
          </w:p>
          <w:p>
            <w:pPr>
              <w:pStyle w:val="2"/>
              <w:keepNext w:val="0"/>
              <w:keepLines w:val="0"/>
              <w:widowControl/>
              <w:suppressLineNumbers w:val="0"/>
              <w:spacing w:line="360" w:lineRule="auto"/>
            </w:pPr>
            <w:r>
              <w:rPr>
                <w:rFonts w:hint="eastAsia" w:ascii="宋体" w:hAnsi="宋体" w:eastAsia="宋体" w:cs="宋体"/>
                <w:sz w:val="18"/>
                <w:szCs w:val="18"/>
              </w:rPr>
              <w:t>（三）突出创新，按需引进；</w:t>
            </w:r>
          </w:p>
          <w:p>
            <w:pPr>
              <w:pStyle w:val="2"/>
              <w:keepNext w:val="0"/>
              <w:keepLines w:val="0"/>
              <w:widowControl/>
              <w:suppressLineNumbers w:val="0"/>
              <w:spacing w:line="360" w:lineRule="auto"/>
            </w:pPr>
            <w:r>
              <w:rPr>
                <w:rFonts w:hint="eastAsia" w:ascii="宋体" w:hAnsi="宋体" w:eastAsia="宋体" w:cs="宋体"/>
                <w:sz w:val="18"/>
                <w:szCs w:val="18"/>
              </w:rPr>
              <w:t>（四）注重公开、公平、公正。</w:t>
            </w:r>
          </w:p>
          <w:p>
            <w:pPr>
              <w:pStyle w:val="2"/>
              <w:keepNext w:val="0"/>
              <w:keepLines w:val="0"/>
              <w:widowControl/>
              <w:suppressLineNumbers w:val="0"/>
              <w:spacing w:line="360" w:lineRule="auto"/>
            </w:pPr>
            <w:r>
              <w:rPr>
                <w:rFonts w:hint="eastAsia" w:ascii="宋体" w:hAnsi="宋体" w:eastAsia="宋体" w:cs="宋体"/>
                <w:sz w:val="18"/>
                <w:szCs w:val="18"/>
              </w:rPr>
              <w:t>第二章工作机制</w:t>
            </w:r>
          </w:p>
          <w:p>
            <w:pPr>
              <w:pStyle w:val="2"/>
              <w:keepNext w:val="0"/>
              <w:keepLines w:val="0"/>
              <w:widowControl/>
              <w:suppressLineNumbers w:val="0"/>
              <w:spacing w:line="360" w:lineRule="auto"/>
            </w:pPr>
            <w:r>
              <w:rPr>
                <w:rFonts w:hint="eastAsia" w:ascii="宋体" w:hAnsi="宋体" w:eastAsia="宋体" w:cs="宋体"/>
                <w:sz w:val="18"/>
                <w:szCs w:val="18"/>
              </w:rPr>
              <w:t>第四条在市委、市政府和市人才工作领导小组领导下，由市委组织部会同相关市级部门（单位）组建高端人才项目资助协调小组，负责项目资助的组织领导和统筹协调。</w:t>
            </w:r>
          </w:p>
          <w:p>
            <w:pPr>
              <w:pStyle w:val="2"/>
              <w:keepNext w:val="0"/>
              <w:keepLines w:val="0"/>
              <w:widowControl/>
              <w:suppressLineNumbers w:val="0"/>
              <w:spacing w:line="360" w:lineRule="auto"/>
            </w:pPr>
            <w:r>
              <w:rPr>
                <w:rFonts w:hint="eastAsia" w:ascii="宋体" w:hAnsi="宋体" w:eastAsia="宋体" w:cs="宋体"/>
                <w:sz w:val="18"/>
                <w:szCs w:val="18"/>
              </w:rPr>
              <w:t>第五条市人才办牵头负责高端人才项目资助的具体实施，牵头制定工作推进方案，指导协调各级各部门重大人才引进工作。</w:t>
            </w:r>
          </w:p>
          <w:p>
            <w:pPr>
              <w:pStyle w:val="2"/>
              <w:keepNext w:val="0"/>
              <w:keepLines w:val="0"/>
              <w:widowControl/>
              <w:suppressLineNumbers w:val="0"/>
              <w:spacing w:line="360" w:lineRule="auto"/>
            </w:pPr>
            <w:r>
              <w:rPr>
                <w:rFonts w:hint="eastAsia" w:ascii="宋体" w:hAnsi="宋体" w:eastAsia="宋体" w:cs="宋体"/>
                <w:sz w:val="18"/>
                <w:szCs w:val="18"/>
              </w:rPr>
              <w:t>第六条市级相关部门（单位）按照各自职能，配合开展做好相关工作，做好落实特殊政策支持和跟踪培养扶持。</w:t>
            </w:r>
          </w:p>
          <w:p>
            <w:pPr>
              <w:pStyle w:val="2"/>
              <w:keepNext w:val="0"/>
              <w:keepLines w:val="0"/>
              <w:widowControl/>
              <w:suppressLineNumbers w:val="0"/>
              <w:spacing w:line="360" w:lineRule="auto"/>
            </w:pPr>
            <w:r>
              <w:rPr>
                <w:rFonts w:hint="eastAsia" w:ascii="宋体" w:hAnsi="宋体" w:eastAsia="宋体" w:cs="宋体"/>
                <w:sz w:val="18"/>
                <w:szCs w:val="18"/>
              </w:rPr>
              <w:t>（一）商务、外事侨务、投资促进等部门，结合对外贸易投资、对外开放、招商引资等重大活动和平台，积极做好招才引智工作。</w:t>
            </w:r>
          </w:p>
          <w:p>
            <w:pPr>
              <w:pStyle w:val="2"/>
              <w:keepNext w:val="0"/>
              <w:keepLines w:val="0"/>
              <w:widowControl/>
              <w:suppressLineNumbers w:val="0"/>
              <w:spacing w:line="360" w:lineRule="auto"/>
            </w:pPr>
            <w:r>
              <w:rPr>
                <w:rFonts w:hint="eastAsia" w:ascii="宋体" w:hAnsi="宋体" w:eastAsia="宋体" w:cs="宋体"/>
                <w:sz w:val="18"/>
                <w:szCs w:val="18"/>
              </w:rPr>
              <w:t>（二）公安、外事侨务、外专等部门，负责为引进人才出入境及居留、外国人来华工作许可、外国人才签证办理提供充分便利。</w:t>
            </w:r>
          </w:p>
          <w:p>
            <w:pPr>
              <w:pStyle w:val="2"/>
              <w:keepNext w:val="0"/>
              <w:keepLines w:val="0"/>
              <w:widowControl/>
              <w:suppressLineNumbers w:val="0"/>
              <w:spacing w:line="360" w:lineRule="auto"/>
            </w:pPr>
            <w:r>
              <w:rPr>
                <w:rFonts w:hint="eastAsia" w:ascii="宋体" w:hAnsi="宋体" w:eastAsia="宋体" w:cs="宋体"/>
                <w:sz w:val="18"/>
                <w:szCs w:val="18"/>
              </w:rPr>
              <w:t>（三）发展改革、经济和信息化、科技、财政、人力资源社会保障、地税等部门整合各自资源，为引进人才在眉创新创业给予倾斜支持。</w:t>
            </w:r>
          </w:p>
          <w:p>
            <w:pPr>
              <w:pStyle w:val="2"/>
              <w:keepNext w:val="0"/>
              <w:keepLines w:val="0"/>
              <w:widowControl/>
              <w:suppressLineNumbers w:val="0"/>
              <w:spacing w:line="360" w:lineRule="auto"/>
            </w:pPr>
            <w:r>
              <w:rPr>
                <w:rFonts w:hint="eastAsia" w:ascii="宋体" w:hAnsi="宋体" w:eastAsia="宋体" w:cs="宋体"/>
                <w:sz w:val="18"/>
                <w:szCs w:val="18"/>
              </w:rPr>
              <w:t>第七条产业园区、企业、高等学校、科研院所、医疗卫生机构等用人单位是引才主体，负责提出人才引进及项目合作需求、对接拟引进人选及合作项目、搭建工作平台、安排岗位职务、落实配套支持政策等工作。</w:t>
            </w:r>
          </w:p>
          <w:p>
            <w:pPr>
              <w:pStyle w:val="2"/>
              <w:keepNext w:val="0"/>
              <w:keepLines w:val="0"/>
              <w:widowControl/>
              <w:suppressLineNumbers w:val="0"/>
              <w:spacing w:line="360" w:lineRule="auto"/>
            </w:pPr>
            <w:r>
              <w:rPr>
                <w:rFonts w:hint="eastAsia" w:ascii="宋体" w:hAnsi="宋体" w:eastAsia="宋体" w:cs="宋体"/>
                <w:sz w:val="18"/>
                <w:szCs w:val="18"/>
              </w:rPr>
              <w:t>第三章项目条件</w:t>
            </w:r>
          </w:p>
          <w:p>
            <w:pPr>
              <w:pStyle w:val="2"/>
              <w:keepNext w:val="0"/>
              <w:keepLines w:val="0"/>
              <w:widowControl/>
              <w:suppressLineNumbers w:val="0"/>
              <w:spacing w:line="360" w:lineRule="auto"/>
            </w:pPr>
            <w:r>
              <w:rPr>
                <w:rFonts w:hint="eastAsia" w:ascii="宋体" w:hAnsi="宋体" w:eastAsia="宋体" w:cs="宋体"/>
                <w:sz w:val="18"/>
                <w:szCs w:val="18"/>
              </w:rPr>
              <w:t>第八条高端人才项目资助分个体引进、团队引进两个类别实施。个体引进包括创业领军人才项目、创新领军人才项目等；团队引进包括创业团队、创新团队等。</w:t>
            </w:r>
          </w:p>
          <w:p>
            <w:pPr>
              <w:pStyle w:val="2"/>
              <w:keepNext w:val="0"/>
              <w:keepLines w:val="0"/>
              <w:widowControl/>
              <w:suppressLineNumbers w:val="0"/>
              <w:spacing w:line="360" w:lineRule="auto"/>
            </w:pPr>
            <w:r>
              <w:rPr>
                <w:rFonts w:hint="eastAsia" w:ascii="宋体" w:hAnsi="宋体" w:eastAsia="宋体" w:cs="宋体"/>
                <w:sz w:val="18"/>
                <w:szCs w:val="18"/>
              </w:rPr>
              <w:t>第九条个体引进是指我市创新驱动发展急需的战略科学家、科技创新创业领军人才、高级管理人才，一般应取得博士学位，在相应行业领域取得突出业绩，且符合以下条件：</w:t>
            </w:r>
          </w:p>
          <w:p>
            <w:pPr>
              <w:pStyle w:val="2"/>
              <w:keepNext w:val="0"/>
              <w:keepLines w:val="0"/>
              <w:widowControl/>
              <w:suppressLineNumbers w:val="0"/>
              <w:spacing w:line="360" w:lineRule="auto"/>
            </w:pPr>
            <w:r>
              <w:rPr>
                <w:rFonts w:hint="eastAsia" w:ascii="宋体" w:hAnsi="宋体" w:eastAsia="宋体" w:cs="宋体"/>
                <w:sz w:val="18"/>
                <w:szCs w:val="18"/>
              </w:rPr>
              <w:t>（一）创业领军人才项目。</w:t>
            </w:r>
          </w:p>
          <w:p>
            <w:pPr>
              <w:pStyle w:val="2"/>
              <w:keepNext w:val="0"/>
              <w:keepLines w:val="0"/>
              <w:widowControl/>
              <w:suppressLineNumbers w:val="0"/>
              <w:spacing w:line="360" w:lineRule="auto"/>
            </w:pPr>
            <w:r>
              <w:rPr>
                <w:rFonts w:hint="eastAsia" w:ascii="宋体" w:hAnsi="宋体" w:eastAsia="宋体" w:cs="宋体"/>
                <w:sz w:val="18"/>
                <w:szCs w:val="18"/>
              </w:rPr>
              <w:t>1.申报人一般具有硕士及以上学位，来眉山工作时间不超过六年，在眉山创办企业一年以上、五年以下；</w:t>
            </w:r>
          </w:p>
          <w:p>
            <w:pPr>
              <w:pStyle w:val="2"/>
              <w:keepNext w:val="0"/>
              <w:keepLines w:val="0"/>
              <w:widowControl/>
              <w:suppressLineNumbers w:val="0"/>
              <w:spacing w:line="360" w:lineRule="auto"/>
            </w:pPr>
            <w:r>
              <w:rPr>
                <w:rFonts w:hint="eastAsia" w:ascii="宋体" w:hAnsi="宋体" w:eastAsia="宋体" w:cs="宋体"/>
                <w:sz w:val="18"/>
                <w:szCs w:val="18"/>
              </w:rPr>
              <w:t>2.申报人应是到我市创办高成长型科技型企业、先进制造业或现代服务业实体的企业领军人才；</w:t>
            </w:r>
          </w:p>
          <w:p>
            <w:pPr>
              <w:pStyle w:val="2"/>
              <w:keepNext w:val="0"/>
              <w:keepLines w:val="0"/>
              <w:widowControl/>
              <w:suppressLineNumbers w:val="0"/>
              <w:spacing w:line="360" w:lineRule="auto"/>
            </w:pPr>
            <w:r>
              <w:rPr>
                <w:rFonts w:hint="eastAsia" w:ascii="宋体" w:hAnsi="宋体" w:eastAsia="宋体" w:cs="宋体"/>
                <w:sz w:val="18"/>
                <w:szCs w:val="18"/>
              </w:rPr>
              <w:t>3.申报人创办企业产品符合我市重点支持产业发展方向，主导产品拥有自主知识产权，达到国际先进或国内领先技术水平，能够填补国内、省内、市内空白或引领相关产业发展。</w:t>
            </w:r>
          </w:p>
          <w:p>
            <w:pPr>
              <w:pStyle w:val="2"/>
              <w:keepNext w:val="0"/>
              <w:keepLines w:val="0"/>
              <w:widowControl/>
              <w:suppressLineNumbers w:val="0"/>
              <w:spacing w:line="360" w:lineRule="auto"/>
            </w:pPr>
            <w:r>
              <w:rPr>
                <w:rFonts w:hint="eastAsia" w:ascii="宋体" w:hAnsi="宋体" w:eastAsia="宋体" w:cs="宋体"/>
                <w:sz w:val="18"/>
                <w:szCs w:val="18"/>
              </w:rPr>
              <w:t>（二）创新领军人才项目。</w:t>
            </w:r>
          </w:p>
          <w:p>
            <w:pPr>
              <w:pStyle w:val="2"/>
              <w:keepNext w:val="0"/>
              <w:keepLines w:val="0"/>
              <w:widowControl/>
              <w:suppressLineNumbers w:val="0"/>
              <w:spacing w:line="360" w:lineRule="auto"/>
            </w:pPr>
            <w:r>
              <w:rPr>
                <w:rFonts w:hint="eastAsia" w:ascii="宋体" w:hAnsi="宋体" w:eastAsia="宋体" w:cs="宋体"/>
                <w:sz w:val="18"/>
                <w:szCs w:val="18"/>
              </w:rPr>
              <w:t>1.申报人一般具有博士学位，具有三年以上知名高校、科研单位、大型企业等中高级研发或管理岗位工作经历，并取得突出业绩；</w:t>
            </w:r>
          </w:p>
          <w:p>
            <w:pPr>
              <w:pStyle w:val="2"/>
              <w:keepNext w:val="0"/>
              <w:keepLines w:val="0"/>
              <w:widowControl/>
              <w:suppressLineNumbers w:val="0"/>
              <w:spacing w:line="360" w:lineRule="auto"/>
            </w:pPr>
            <w:r>
              <w:rPr>
                <w:rFonts w:hint="eastAsia" w:ascii="宋体" w:hAnsi="宋体" w:eastAsia="宋体" w:cs="宋体"/>
                <w:sz w:val="18"/>
                <w:szCs w:val="18"/>
              </w:rPr>
              <w:t>2.申报人已与市内用人单位签订连续三年以上、每年不少于九个月的正式工作合同。</w:t>
            </w:r>
          </w:p>
          <w:p>
            <w:pPr>
              <w:pStyle w:val="2"/>
              <w:keepNext w:val="0"/>
              <w:keepLines w:val="0"/>
              <w:widowControl/>
              <w:suppressLineNumbers w:val="0"/>
              <w:spacing w:line="360" w:lineRule="auto"/>
            </w:pPr>
            <w:r>
              <w:rPr>
                <w:rFonts w:hint="eastAsia" w:ascii="宋体" w:hAnsi="宋体" w:eastAsia="宋体" w:cs="宋体"/>
                <w:sz w:val="18"/>
                <w:szCs w:val="18"/>
              </w:rPr>
              <w:t>3.申报人应拥有自主知识产权、掌握重大核心关键技术，与我市企业建立重大应用型项目研究合作关系，研究成果能有效推进地方产业实现突破性发展。优先支持引进我市重点发展产业及骨干企业急需的高管人才和掌握关键技术的高级研发专家。</w:t>
            </w:r>
          </w:p>
          <w:p>
            <w:pPr>
              <w:pStyle w:val="2"/>
              <w:keepNext w:val="0"/>
              <w:keepLines w:val="0"/>
              <w:widowControl/>
              <w:suppressLineNumbers w:val="0"/>
              <w:spacing w:line="360" w:lineRule="auto"/>
            </w:pPr>
            <w:r>
              <w:rPr>
                <w:rFonts w:hint="eastAsia" w:ascii="宋体" w:hAnsi="宋体" w:eastAsia="宋体" w:cs="宋体"/>
                <w:sz w:val="18"/>
                <w:szCs w:val="18"/>
              </w:rPr>
              <w:t>第十条团队引进是指以企业为主体、以团队协作为基础、以转化科技成果为支撑，能有效促进我市产业转型升级和创新驱动发展的高端人才群体，且符合以下条件：</w:t>
            </w:r>
          </w:p>
          <w:p>
            <w:pPr>
              <w:pStyle w:val="2"/>
              <w:keepNext w:val="0"/>
              <w:keepLines w:val="0"/>
              <w:widowControl/>
              <w:suppressLineNumbers w:val="0"/>
              <w:spacing w:line="360" w:lineRule="auto"/>
            </w:pPr>
            <w:r>
              <w:rPr>
                <w:rFonts w:hint="eastAsia" w:ascii="宋体" w:hAnsi="宋体" w:eastAsia="宋体" w:cs="宋体"/>
                <w:sz w:val="18"/>
                <w:szCs w:val="18"/>
              </w:rPr>
              <w:t>（一）团队创新创业领域应紧扣我市构建现代产业体系方向，符合我市发展特色优势产业、战略性新兴产业，特别是高端成长型产业和新兴先导型服务业发展需求；</w:t>
            </w:r>
          </w:p>
          <w:p>
            <w:pPr>
              <w:pStyle w:val="2"/>
              <w:keepNext w:val="0"/>
              <w:keepLines w:val="0"/>
              <w:widowControl/>
              <w:suppressLineNumbers w:val="0"/>
              <w:spacing w:line="360" w:lineRule="auto"/>
            </w:pPr>
            <w:r>
              <w:rPr>
                <w:rFonts w:hint="eastAsia" w:ascii="宋体" w:hAnsi="宋体" w:eastAsia="宋体" w:cs="宋体"/>
                <w:sz w:val="18"/>
                <w:szCs w:val="18"/>
              </w:rPr>
              <w:t>（二）团队核心成员中高层次人才一般不少于五人，其中在国内外知名院校曾聘为高级职称或担任知名公司高管职位的，原则上不低于1/3。</w:t>
            </w:r>
          </w:p>
          <w:p>
            <w:pPr>
              <w:pStyle w:val="2"/>
              <w:keepNext w:val="0"/>
              <w:keepLines w:val="0"/>
              <w:widowControl/>
              <w:suppressLineNumbers w:val="0"/>
              <w:spacing w:line="360" w:lineRule="auto"/>
            </w:pPr>
            <w:r>
              <w:rPr>
                <w:rFonts w:hint="eastAsia" w:ascii="宋体" w:hAnsi="宋体" w:eastAsia="宋体" w:cs="宋体"/>
                <w:sz w:val="18"/>
                <w:szCs w:val="18"/>
              </w:rPr>
              <w:t>（三）团队带头人一般为国家、省“千人计划”入选者，或天府眉山高端人才项目资助引进人才。创业团队带头人应是企业主要创办人，股权一般不低于30%；创新团队带头人应是企业核心技术所在领域的领军人才；</w:t>
            </w:r>
          </w:p>
          <w:p>
            <w:pPr>
              <w:pStyle w:val="2"/>
              <w:keepNext w:val="0"/>
              <w:keepLines w:val="0"/>
              <w:widowControl/>
              <w:suppressLineNumbers w:val="0"/>
              <w:spacing w:line="360" w:lineRule="auto"/>
            </w:pPr>
            <w:r>
              <w:rPr>
                <w:rFonts w:hint="eastAsia" w:ascii="宋体" w:hAnsi="宋体" w:eastAsia="宋体" w:cs="宋体"/>
                <w:sz w:val="18"/>
                <w:szCs w:val="18"/>
              </w:rPr>
              <w:t>（四）创业团队创办企业核心技术处于国际领先、国内一流水平，能在较短时间取得突破性发展或引领带动形成新的产业集群；创新团队创新项目能迅速填补省内、市内空白，已在市内企业进行有效转化，具有产业化发展前景；</w:t>
            </w:r>
          </w:p>
          <w:p>
            <w:pPr>
              <w:pStyle w:val="2"/>
              <w:keepNext w:val="0"/>
              <w:keepLines w:val="0"/>
              <w:widowControl/>
              <w:suppressLineNumbers w:val="0"/>
              <w:spacing w:line="360" w:lineRule="auto"/>
            </w:pPr>
            <w:r>
              <w:rPr>
                <w:rFonts w:hint="eastAsia" w:ascii="宋体" w:hAnsi="宋体" w:eastAsia="宋体" w:cs="宋体"/>
                <w:sz w:val="18"/>
                <w:szCs w:val="18"/>
              </w:rPr>
              <w:t>（五）所在县（区）及产业园区从创业扶持、创新支持等方面给予充分配套，为团队建设发展创造良好条件。</w:t>
            </w:r>
          </w:p>
          <w:p>
            <w:pPr>
              <w:pStyle w:val="2"/>
              <w:keepNext w:val="0"/>
              <w:keepLines w:val="0"/>
              <w:widowControl/>
              <w:suppressLineNumbers w:val="0"/>
              <w:spacing w:line="360" w:lineRule="auto"/>
            </w:pPr>
            <w:r>
              <w:rPr>
                <w:rFonts w:hint="eastAsia" w:ascii="宋体" w:hAnsi="宋体" w:eastAsia="宋体" w:cs="宋体"/>
                <w:sz w:val="18"/>
                <w:szCs w:val="18"/>
              </w:rPr>
              <w:t>第十一条对特别优秀且眉山发展特需的人才，经市委、市政府或市人才工作领导小组同意，可适当突破学历、专业技术职务、任职年限等限制，采取“一人一策”“一事一议”方式破格引进。</w:t>
            </w:r>
          </w:p>
          <w:p>
            <w:pPr>
              <w:pStyle w:val="2"/>
              <w:keepNext w:val="0"/>
              <w:keepLines w:val="0"/>
              <w:widowControl/>
              <w:suppressLineNumbers w:val="0"/>
              <w:spacing w:line="360" w:lineRule="auto"/>
            </w:pPr>
            <w:r>
              <w:rPr>
                <w:rFonts w:hint="eastAsia" w:ascii="宋体" w:hAnsi="宋体" w:eastAsia="宋体" w:cs="宋体"/>
                <w:sz w:val="18"/>
                <w:szCs w:val="18"/>
              </w:rPr>
              <w:t>第四章引进资助程序</w:t>
            </w:r>
          </w:p>
          <w:p>
            <w:pPr>
              <w:pStyle w:val="2"/>
              <w:keepNext w:val="0"/>
              <w:keepLines w:val="0"/>
              <w:widowControl/>
              <w:suppressLineNumbers w:val="0"/>
              <w:spacing w:line="360" w:lineRule="auto"/>
            </w:pPr>
            <w:r>
              <w:rPr>
                <w:rFonts w:hint="eastAsia" w:ascii="宋体" w:hAnsi="宋体" w:eastAsia="宋体" w:cs="宋体"/>
                <w:sz w:val="18"/>
                <w:szCs w:val="18"/>
              </w:rPr>
              <w:t>第十二条高端人才项目资助的引进及资助程序：</w:t>
            </w:r>
          </w:p>
          <w:p>
            <w:pPr>
              <w:pStyle w:val="2"/>
              <w:keepNext w:val="0"/>
              <w:keepLines w:val="0"/>
              <w:widowControl/>
              <w:suppressLineNumbers w:val="0"/>
              <w:spacing w:line="360" w:lineRule="auto"/>
            </w:pPr>
            <w:r>
              <w:rPr>
                <w:rFonts w:hint="eastAsia" w:ascii="宋体" w:hAnsi="宋体" w:eastAsia="宋体" w:cs="宋体"/>
                <w:sz w:val="18"/>
                <w:szCs w:val="18"/>
              </w:rPr>
              <w:t>（一）制定并发布引才计划。由市委组织部、市人力资源社会保障局汇总并发布人才引进需求信息，广泛搭建各类招才引智平台，促进用人单位和拟引进人才对接。</w:t>
            </w:r>
          </w:p>
          <w:p>
            <w:pPr>
              <w:pStyle w:val="2"/>
              <w:keepNext w:val="0"/>
              <w:keepLines w:val="0"/>
              <w:widowControl/>
              <w:suppressLineNumbers w:val="0"/>
              <w:spacing w:line="360" w:lineRule="auto"/>
            </w:pPr>
            <w:r>
              <w:rPr>
                <w:rFonts w:hint="eastAsia" w:ascii="宋体" w:hAnsi="宋体" w:eastAsia="宋体" w:cs="宋体"/>
                <w:sz w:val="18"/>
                <w:szCs w:val="18"/>
              </w:rPr>
              <w:t>（二）用人单位确定引进人才。用人单位与拟引进人才按相关法律法规和政策规定签订工作合同，办理引进手续。</w:t>
            </w:r>
          </w:p>
          <w:p>
            <w:pPr>
              <w:pStyle w:val="2"/>
              <w:keepNext w:val="0"/>
              <w:keepLines w:val="0"/>
              <w:widowControl/>
              <w:suppressLineNumbers w:val="0"/>
              <w:spacing w:line="360" w:lineRule="auto"/>
            </w:pPr>
            <w:r>
              <w:rPr>
                <w:rFonts w:hint="eastAsia" w:ascii="宋体" w:hAnsi="宋体" w:eastAsia="宋体" w:cs="宋体"/>
                <w:sz w:val="18"/>
                <w:szCs w:val="18"/>
              </w:rPr>
              <w:t>（三）申请纳入项目资助。根据市人才办申报通知要求，由用人单位组织符合条件的引进人才及团队申报天府眉山高端人才项目资助。由相关部门（单位）或县（区）党委、园区党工委初评，提出建议名单报市人才办。</w:t>
            </w:r>
          </w:p>
          <w:p>
            <w:pPr>
              <w:pStyle w:val="2"/>
              <w:keepNext w:val="0"/>
              <w:keepLines w:val="0"/>
              <w:widowControl/>
              <w:suppressLineNumbers w:val="0"/>
              <w:spacing w:line="360" w:lineRule="auto"/>
            </w:pPr>
            <w:r>
              <w:rPr>
                <w:rFonts w:hint="eastAsia" w:ascii="宋体" w:hAnsi="宋体" w:eastAsia="宋体" w:cs="宋体"/>
                <w:sz w:val="18"/>
                <w:szCs w:val="18"/>
              </w:rPr>
              <w:t>（四）评审产生项目资助对象。市人才办负责对各地、各部门建议人选及团队的资格、条件进行审核把关，会同有关部门组建专家评审委员会，评选产生高端人才项目资助引进人才和团队名单，采取适当形式进行公示后，报市人才工作领导小组审批。</w:t>
            </w:r>
          </w:p>
          <w:p>
            <w:pPr>
              <w:pStyle w:val="2"/>
              <w:keepNext w:val="0"/>
              <w:keepLines w:val="0"/>
              <w:widowControl/>
              <w:suppressLineNumbers w:val="0"/>
              <w:spacing w:line="360" w:lineRule="auto"/>
            </w:pPr>
            <w:r>
              <w:rPr>
                <w:rFonts w:hint="eastAsia" w:ascii="宋体" w:hAnsi="宋体" w:eastAsia="宋体" w:cs="宋体"/>
                <w:sz w:val="18"/>
                <w:szCs w:val="18"/>
              </w:rPr>
              <w:t>（五）审批命名。经批准的引进人才，由市委组织部、市人力资源社会保障局颁发眉山优才卡，市人才工作领导小组成员单位凭证落实引进人才有关特殊支持政策；经批准的引进团队，由市人才工作领导小组授予“天府眉山高端人才团队”称号。</w:t>
            </w:r>
          </w:p>
          <w:p>
            <w:pPr>
              <w:pStyle w:val="2"/>
              <w:keepNext w:val="0"/>
              <w:keepLines w:val="0"/>
              <w:widowControl/>
              <w:suppressLineNumbers w:val="0"/>
              <w:spacing w:line="360" w:lineRule="auto"/>
            </w:pPr>
            <w:r>
              <w:rPr>
                <w:rFonts w:hint="eastAsia" w:ascii="宋体" w:hAnsi="宋体" w:eastAsia="宋体" w:cs="宋体"/>
                <w:sz w:val="18"/>
                <w:szCs w:val="18"/>
              </w:rPr>
              <w:t>第五章支持政策</w:t>
            </w:r>
          </w:p>
          <w:p>
            <w:pPr>
              <w:pStyle w:val="2"/>
              <w:keepNext w:val="0"/>
              <w:keepLines w:val="0"/>
              <w:widowControl/>
              <w:suppressLineNumbers w:val="0"/>
              <w:spacing w:line="360" w:lineRule="auto"/>
            </w:pPr>
            <w:r>
              <w:rPr>
                <w:rFonts w:hint="eastAsia" w:ascii="宋体" w:hAnsi="宋体" w:eastAsia="宋体" w:cs="宋体"/>
                <w:sz w:val="18"/>
                <w:szCs w:val="18"/>
              </w:rPr>
              <w:t>第十三条高端人才项目资助引进人才在项目资金、居住生活等方面享受下列特殊支持政策：</w:t>
            </w:r>
          </w:p>
          <w:p>
            <w:pPr>
              <w:pStyle w:val="2"/>
              <w:keepNext w:val="0"/>
              <w:keepLines w:val="0"/>
              <w:widowControl/>
              <w:suppressLineNumbers w:val="0"/>
              <w:spacing w:line="360" w:lineRule="auto"/>
            </w:pPr>
            <w:r>
              <w:rPr>
                <w:rFonts w:hint="eastAsia" w:ascii="宋体" w:hAnsi="宋体" w:eastAsia="宋体" w:cs="宋体"/>
                <w:sz w:val="18"/>
                <w:szCs w:val="18"/>
              </w:rPr>
              <w:t>（一）资金资助。对审批通过的高端人才项目资助引进人才和团队，创业领军人才、创新领军人才分别给予每人50万元、30万元项目资助，创业团队和创新团队分别给予100万元、60万元项目资助。</w:t>
            </w:r>
          </w:p>
          <w:p>
            <w:pPr>
              <w:pStyle w:val="2"/>
              <w:keepNext w:val="0"/>
              <w:keepLines w:val="0"/>
              <w:widowControl/>
              <w:suppressLineNumbers w:val="0"/>
              <w:spacing w:line="360" w:lineRule="auto"/>
            </w:pPr>
            <w:r>
              <w:rPr>
                <w:rFonts w:hint="eastAsia" w:ascii="宋体" w:hAnsi="宋体" w:eastAsia="宋体" w:cs="宋体"/>
                <w:sz w:val="18"/>
                <w:szCs w:val="18"/>
              </w:rPr>
              <w:t>（二）安居保障。符合条件的高端人才项目资助人才，按照《眉山市高层次人才安居保障实施办法（试行）》规定的标准和程序享受居住保障、安家补助、生活补贴。</w:t>
            </w:r>
          </w:p>
          <w:p>
            <w:pPr>
              <w:pStyle w:val="2"/>
              <w:keepNext w:val="0"/>
              <w:keepLines w:val="0"/>
              <w:widowControl/>
              <w:suppressLineNumbers w:val="0"/>
              <w:spacing w:line="360" w:lineRule="auto"/>
            </w:pPr>
            <w:r>
              <w:rPr>
                <w:rFonts w:hint="eastAsia" w:ascii="宋体" w:hAnsi="宋体" w:eastAsia="宋体" w:cs="宋体"/>
                <w:sz w:val="18"/>
                <w:szCs w:val="18"/>
              </w:rPr>
              <w:t>（三）医疗保障。凭眉山优才卡，由市卫生计生委办理特约医疗证，享受优秀专家医疗待遇。</w:t>
            </w:r>
          </w:p>
          <w:p>
            <w:pPr>
              <w:pStyle w:val="2"/>
              <w:keepNext w:val="0"/>
              <w:keepLines w:val="0"/>
              <w:widowControl/>
              <w:suppressLineNumbers w:val="0"/>
              <w:spacing w:line="360" w:lineRule="auto"/>
            </w:pPr>
            <w:r>
              <w:rPr>
                <w:rFonts w:hint="eastAsia" w:ascii="宋体" w:hAnsi="宋体" w:eastAsia="宋体" w:cs="宋体"/>
                <w:sz w:val="18"/>
                <w:szCs w:val="18"/>
              </w:rPr>
              <w:t>（四）配偶安置。高端人才项目资助人才配偶一同来眉并愿意在我市就业的，由用人单位按规定妥善安排其工作；暂时无法安排的，用人单位可参照单位人员平均工资水平，以适当方式为其发放生活补贴；确有困难的，当地组织、人事部门应积极帮助推荐就业。</w:t>
            </w:r>
          </w:p>
          <w:p>
            <w:pPr>
              <w:pStyle w:val="2"/>
              <w:keepNext w:val="0"/>
              <w:keepLines w:val="0"/>
              <w:widowControl/>
              <w:suppressLineNumbers w:val="0"/>
              <w:spacing w:line="360" w:lineRule="auto"/>
            </w:pPr>
            <w:r>
              <w:rPr>
                <w:rFonts w:hint="eastAsia" w:ascii="宋体" w:hAnsi="宋体" w:eastAsia="宋体" w:cs="宋体"/>
                <w:sz w:val="18"/>
                <w:szCs w:val="18"/>
              </w:rPr>
              <w:t>（五）子女入学。高端人才项目资助人才子女，义务教育阶段可有一次自由选择公办学校机会，由市、县（区）教育部门妥善协调解决。</w:t>
            </w:r>
          </w:p>
          <w:p>
            <w:pPr>
              <w:pStyle w:val="2"/>
              <w:keepNext w:val="0"/>
              <w:keepLines w:val="0"/>
              <w:widowControl/>
              <w:suppressLineNumbers w:val="0"/>
              <w:spacing w:line="360" w:lineRule="auto"/>
            </w:pPr>
            <w:r>
              <w:rPr>
                <w:rFonts w:hint="eastAsia" w:ascii="宋体" w:hAnsi="宋体" w:eastAsia="宋体" w:cs="宋体"/>
                <w:sz w:val="18"/>
                <w:szCs w:val="18"/>
              </w:rPr>
              <w:t>（六）评价激励。对作出突出贡献的高端人才项目资助人才，可优先推荐参加四川省有突出贡献的优秀专家、享受国务院政府特殊津贴人员、四川省“千人计划”专家、四川省学术和技术带头人及后备人选等评选。</w:t>
            </w:r>
          </w:p>
          <w:p>
            <w:pPr>
              <w:pStyle w:val="2"/>
              <w:keepNext w:val="0"/>
              <w:keepLines w:val="0"/>
              <w:widowControl/>
              <w:suppressLineNumbers w:val="0"/>
              <w:spacing w:line="360" w:lineRule="auto"/>
            </w:pPr>
            <w:r>
              <w:rPr>
                <w:rFonts w:hint="eastAsia" w:ascii="宋体" w:hAnsi="宋体" w:eastAsia="宋体" w:cs="宋体"/>
                <w:sz w:val="18"/>
                <w:szCs w:val="18"/>
              </w:rPr>
              <w:t>第六章管理服务</w:t>
            </w:r>
          </w:p>
          <w:p>
            <w:pPr>
              <w:pStyle w:val="2"/>
              <w:keepNext w:val="0"/>
              <w:keepLines w:val="0"/>
              <w:widowControl/>
              <w:suppressLineNumbers w:val="0"/>
              <w:spacing w:line="360" w:lineRule="auto"/>
            </w:pPr>
            <w:r>
              <w:rPr>
                <w:rFonts w:hint="eastAsia" w:ascii="宋体" w:hAnsi="宋体" w:eastAsia="宋体" w:cs="宋体"/>
                <w:sz w:val="18"/>
                <w:szCs w:val="18"/>
              </w:rPr>
              <w:t>第十四条加强联系服务。将高端人才项目资助人才纳入市委直接联系的专家范围。建立高端人才项目资助专家联谊会制度，定期举办高端人才项目资助专家国情、省情、市情、考察研修班。</w:t>
            </w:r>
          </w:p>
          <w:p>
            <w:pPr>
              <w:pStyle w:val="2"/>
              <w:keepNext w:val="0"/>
              <w:keepLines w:val="0"/>
              <w:widowControl/>
              <w:suppressLineNumbers w:val="0"/>
              <w:spacing w:line="360" w:lineRule="auto"/>
            </w:pPr>
            <w:r>
              <w:rPr>
                <w:rFonts w:hint="eastAsia" w:ascii="宋体" w:hAnsi="宋体" w:eastAsia="宋体" w:cs="宋体"/>
                <w:sz w:val="18"/>
                <w:szCs w:val="18"/>
              </w:rPr>
              <w:t>第十五条实行动态管理。人才入选高端人才项目资助后，按五年周期进行管理，管理期满后由市人才办会同有关部门（单位）进行考核，考核合格的可纳入第二个管理周期，但最高不超过两个管理期。对入选者工作岗位发生变化、取得重大成果、患严重疾病等方面情况，所在单位应及时向市人才办报告。</w:t>
            </w:r>
          </w:p>
          <w:p>
            <w:pPr>
              <w:pStyle w:val="2"/>
              <w:keepNext w:val="0"/>
              <w:keepLines w:val="0"/>
              <w:widowControl/>
              <w:suppressLineNumbers w:val="0"/>
              <w:spacing w:line="360" w:lineRule="auto"/>
            </w:pPr>
            <w:r>
              <w:rPr>
                <w:rFonts w:hint="eastAsia" w:ascii="宋体" w:hAnsi="宋体" w:eastAsia="宋体" w:cs="宋体"/>
                <w:sz w:val="18"/>
                <w:szCs w:val="18"/>
              </w:rPr>
              <w:t>第十六条建立退出机制。对弄虚作假骗取入选资格，或入选后三个月之内未到岗工作的，或管理期未履行工作合同的，或违反职业道德、学术不端造成恶劣影响的，或触犯国家法律法规的，取消高端人才项目资助入选资格，不再保留相应工作生活待遇，获得的一次性资助视合同履行情况部分或全部收回。对伪造申报资质、隐瞒违规行为或对违规行为处置不力的用人单位，暂停或取消其申报资格。</w:t>
            </w:r>
          </w:p>
          <w:p>
            <w:pPr>
              <w:pStyle w:val="2"/>
              <w:keepNext w:val="0"/>
              <w:keepLines w:val="0"/>
              <w:widowControl/>
              <w:suppressLineNumbers w:val="0"/>
              <w:spacing w:line="360" w:lineRule="auto"/>
            </w:pPr>
            <w:r>
              <w:rPr>
                <w:rFonts w:hint="eastAsia" w:ascii="宋体" w:hAnsi="宋体" w:eastAsia="宋体" w:cs="宋体"/>
                <w:sz w:val="18"/>
                <w:szCs w:val="18"/>
              </w:rPr>
              <w:t>第十七条加强资金监管。市委组织部（市人才办）会同财政、审计等部门联合成立专项资金监督小组，加强对资助资金使用情况的检查、监督和审计。用人单位应单独建账核算，确保专款专用，不得以任何理由和方式截留、侵占或挪用。对虚报冒领、套取骗取、挤占挪用等各种违规违纪行为，依照《财政违法行为处罚处分条例》的规定严肃处理，并追回财政补助资金。对涉嫌严重违纪或违法犯罪的，按规定移送监察机关或司法机关处理。</w:t>
            </w:r>
          </w:p>
          <w:p>
            <w:pPr>
              <w:pStyle w:val="2"/>
              <w:keepNext w:val="0"/>
              <w:keepLines w:val="0"/>
              <w:widowControl/>
              <w:suppressLineNumbers w:val="0"/>
              <w:spacing w:line="360" w:lineRule="auto"/>
            </w:pPr>
            <w:r>
              <w:rPr>
                <w:rFonts w:hint="eastAsia" w:ascii="宋体" w:hAnsi="宋体" w:eastAsia="宋体" w:cs="宋体"/>
                <w:sz w:val="18"/>
                <w:szCs w:val="18"/>
              </w:rPr>
              <w:t>第七章附则</w:t>
            </w:r>
          </w:p>
          <w:p>
            <w:pPr>
              <w:pStyle w:val="2"/>
              <w:keepNext w:val="0"/>
              <w:keepLines w:val="0"/>
              <w:widowControl/>
              <w:suppressLineNumbers w:val="0"/>
              <w:spacing w:line="360" w:lineRule="auto"/>
            </w:pPr>
            <w:r>
              <w:rPr>
                <w:rFonts w:hint="eastAsia" w:ascii="宋体" w:hAnsi="宋体" w:eastAsia="宋体" w:cs="宋体"/>
                <w:sz w:val="18"/>
                <w:szCs w:val="18"/>
              </w:rPr>
              <w:t>第十八条各县（区）、园区（新区）可参照本办法，结合实际制定相应的人才引进实施计划。</w:t>
            </w:r>
          </w:p>
          <w:p>
            <w:pPr>
              <w:pStyle w:val="2"/>
              <w:keepNext w:val="0"/>
              <w:keepLines w:val="0"/>
              <w:widowControl/>
              <w:suppressLineNumbers w:val="0"/>
              <w:spacing w:line="360" w:lineRule="auto"/>
            </w:pPr>
            <w:r>
              <w:rPr>
                <w:rFonts w:hint="eastAsia" w:ascii="宋体" w:hAnsi="宋体" w:eastAsia="宋体" w:cs="宋体"/>
                <w:sz w:val="18"/>
                <w:szCs w:val="18"/>
              </w:rPr>
              <w:t>第十九条本办法由市委组织部（市人才办）会同有关部门负责解释。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Fonts w:hint="eastAsia" w:ascii="宋体" w:hAnsi="宋体" w:eastAsia="宋体" w:cs="宋体"/>
                <w:sz w:val="18"/>
                <w:szCs w:val="18"/>
                <w:bdr w:val="none" w:color="auto" w:sz="0" w:space="0"/>
              </w:rPr>
              <w:t>第二十条本办法自发布之日起执行，有效期两年，两年后根据眉山经济社会发展情况和人才需求情况进行修订。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C62CE"/>
    <w:rsid w:val="49EC6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232323"/>
      <w:u w:val="none"/>
      <w:bdr w:val="none" w:color="auto" w:sz="0" w:space="0"/>
    </w:rPr>
  </w:style>
  <w:style w:type="character" w:styleId="5">
    <w:name w:val="Hyperlink"/>
    <w:basedOn w:val="3"/>
    <w:uiPriority w:val="0"/>
    <w:rPr>
      <w:color w:val="232323"/>
      <w:u w:val="none"/>
      <w:bdr w:val="none" w:color="auto" w:sz="0" w:space="0"/>
    </w:rPr>
  </w:style>
  <w:style w:type="character" w:customStyle="1" w:styleId="7">
    <w:name w:val="icon-hdjl"/>
    <w:basedOn w:val="3"/>
    <w:uiPriority w:val="0"/>
  </w:style>
  <w:style w:type="character" w:customStyle="1" w:styleId="8">
    <w:name w:val="hd-icon4"/>
    <w:basedOn w:val="3"/>
    <w:uiPriority w:val="0"/>
  </w:style>
  <w:style w:type="character" w:customStyle="1" w:styleId="9">
    <w:name w:val="more"/>
    <w:basedOn w:val="3"/>
    <w:uiPriority w:val="0"/>
  </w:style>
  <w:style w:type="character" w:customStyle="1" w:styleId="10">
    <w:name w:val="icon-xxgk"/>
    <w:basedOn w:val="3"/>
    <w:uiPriority w:val="0"/>
  </w:style>
  <w:style w:type="character" w:customStyle="1" w:styleId="11">
    <w:name w:val="icon-xxgk1"/>
    <w:basedOn w:val="3"/>
    <w:uiPriority w:val="0"/>
  </w:style>
  <w:style w:type="character" w:customStyle="1" w:styleId="12">
    <w:name w:val="icon-bsfw"/>
    <w:basedOn w:val="3"/>
    <w:uiPriority w:val="0"/>
  </w:style>
  <w:style w:type="character" w:customStyle="1" w:styleId="13">
    <w:name w:val="icon-bsfw1"/>
    <w:basedOn w:val="3"/>
    <w:uiPriority w:val="0"/>
  </w:style>
  <w:style w:type="character" w:customStyle="1" w:styleId="14">
    <w:name w:val="zxft-tit"/>
    <w:basedOn w:val="3"/>
    <w:uiPriority w:val="0"/>
    <w:rPr>
      <w:b/>
      <w:color w:val="CB0306"/>
      <w:sz w:val="24"/>
      <w:szCs w:val="24"/>
      <w:bdr w:val="none" w:color="auto" w:sz="0" w:space="0"/>
    </w:rPr>
  </w:style>
  <w:style w:type="character" w:customStyle="1" w:styleId="15">
    <w:name w:val="text2"/>
    <w:basedOn w:val="3"/>
    <w:uiPriority w:val="0"/>
    <w:rPr>
      <w:color w:val="FFFFFF"/>
      <w:sz w:val="24"/>
      <w:szCs w:val="24"/>
      <w:bdr w:val="none" w:color="auto" w:sz="0" w:space="0"/>
      <w:shd w:val="clear" w:fill="CC0407"/>
    </w:rPr>
  </w:style>
  <w:style w:type="character" w:customStyle="1" w:styleId="16">
    <w:name w:val="hd-icon3"/>
    <w:basedOn w:val="3"/>
    <w:uiPriority w:val="0"/>
  </w:style>
  <w:style w:type="character" w:customStyle="1" w:styleId="17">
    <w:name w:val="tit"/>
    <w:basedOn w:val="3"/>
    <w:uiPriority w:val="0"/>
    <w:rPr>
      <w:color w:val="BD090C"/>
      <w:sz w:val="30"/>
      <w:szCs w:val="30"/>
      <w:bdr w:val="none" w:color="auto" w:sz="0" w:space="0"/>
    </w:rPr>
  </w:style>
  <w:style w:type="character" w:customStyle="1" w:styleId="18">
    <w:name w:val="tit1"/>
    <w:basedOn w:val="3"/>
    <w:uiPriority w:val="0"/>
    <w:rPr>
      <w:sz w:val="24"/>
      <w:szCs w:val="24"/>
    </w:rPr>
  </w:style>
  <w:style w:type="character" w:customStyle="1" w:styleId="19">
    <w:name w:val="hd-icon1"/>
    <w:basedOn w:val="3"/>
    <w:uiPriority w:val="0"/>
  </w:style>
  <w:style w:type="character" w:customStyle="1" w:styleId="20">
    <w:name w:val="hd-icon2"/>
    <w:basedOn w:val="3"/>
    <w:uiPriority w:val="0"/>
  </w:style>
  <w:style w:type="character" w:customStyle="1" w:styleId="21">
    <w:name w:val="dqwz"/>
    <w:basedOn w:val="3"/>
    <w:uiPriority w:val="0"/>
  </w:style>
  <w:style w:type="character" w:customStyle="1" w:styleId="22">
    <w:name w:val="tex"/>
    <w:basedOn w:val="3"/>
    <w:uiPriority w:val="0"/>
    <w:rPr>
      <w:color w:val="CC0407"/>
      <w:sz w:val="22"/>
      <w:szCs w:val="22"/>
      <w:bdr w:val="none" w:color="auto" w:sz="0" w:space="0"/>
    </w:rPr>
  </w:style>
  <w:style w:type="character" w:customStyle="1" w:styleId="23">
    <w:name w:val="timestyle700441"/>
    <w:basedOn w:val="3"/>
    <w:uiPriority w:val="0"/>
    <w:rPr>
      <w:sz w:val="18"/>
      <w:szCs w:val="18"/>
    </w:rPr>
  </w:style>
  <w:style w:type="character" w:customStyle="1" w:styleId="24">
    <w:name w:val="authorstyle700441"/>
    <w:basedOn w:val="3"/>
    <w:uiPriority w:val="0"/>
    <w:rPr>
      <w:sz w:val="18"/>
      <w:szCs w:val="18"/>
    </w:rPr>
  </w:style>
  <w:style w:type="character" w:customStyle="1" w:styleId="25">
    <w:name w:val="icon-hdjl1"/>
    <w:basedOn w:val="3"/>
    <w:uiPriority w:val="0"/>
  </w:style>
  <w:style w:type="character" w:customStyle="1" w:styleId="26">
    <w:name w:val="tit2"/>
    <w:basedOn w:val="3"/>
    <w:uiPriority w:val="0"/>
    <w:rPr>
      <w:color w:val="BD090C"/>
      <w:sz w:val="30"/>
      <w:szCs w:val="30"/>
      <w:bdr w:val="none" w:color="auto" w:sz="0" w:space="0"/>
    </w:rPr>
  </w:style>
  <w:style w:type="character" w:customStyle="1" w:styleId="27">
    <w:name w:val="tit3"/>
    <w:basedOn w:val="3"/>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2018-05-23T18:46:00Z</dcterms:created>
  <dc:creator>air</dc:creator>
  <cp:lastModifiedBy>air</cp:lastModifiedBy>
  <dcterms:modified xsi:type="dcterms:W3CDTF">2018-05-23T18:48:04Z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