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0" w:type="dxa"/>
        <w:jc w:val="center"/>
        <w:tblCellSpacing w:w="0" w:type="dxa"/>
        <w:tblCellMar>
          <w:left w:w="0" w:type="dxa"/>
          <w:right w:w="0" w:type="dxa"/>
        </w:tblCellMar>
        <w:tblLook w:val="04A0"/>
      </w:tblPr>
      <w:tblGrid>
        <w:gridCol w:w="9780"/>
      </w:tblGrid>
      <w:tr w:rsidR="006F5A03" w:rsidRPr="006F5A03">
        <w:trPr>
          <w:trHeight w:val="840"/>
          <w:tblCellSpacing w:w="0" w:type="dxa"/>
          <w:jc w:val="center"/>
        </w:trPr>
        <w:tc>
          <w:tcPr>
            <w:tcW w:w="0" w:type="auto"/>
            <w:vAlign w:val="center"/>
            <w:hideMark/>
          </w:tcPr>
          <w:p w:rsidR="006F5A03" w:rsidRPr="006F5A03" w:rsidRDefault="006F5A03" w:rsidP="006F5A03">
            <w:pPr>
              <w:adjustRightInd/>
              <w:snapToGrid/>
              <w:spacing w:after="0" w:line="360" w:lineRule="atLeast"/>
              <w:jc w:val="center"/>
              <w:rPr>
                <w:rFonts w:ascii="inherit" w:eastAsia="宋体" w:hAnsi="inherit" w:cs="宋体"/>
                <w:color w:val="333333"/>
                <w:sz w:val="26"/>
                <w:szCs w:val="26"/>
              </w:rPr>
            </w:pPr>
            <w:r w:rsidRPr="006F5A03">
              <w:rPr>
                <w:rFonts w:ascii="inherit" w:eastAsia="宋体" w:hAnsi="inherit" w:cs="宋体"/>
                <w:color w:val="333333"/>
                <w:sz w:val="26"/>
                <w:szCs w:val="26"/>
              </w:rPr>
              <w:t>营口市人民政府关于印发营口市推进科技创新十项政策的通知</w:t>
            </w:r>
          </w:p>
        </w:tc>
      </w:tr>
    </w:tbl>
    <w:p w:rsidR="006F5A03" w:rsidRPr="006F5A03" w:rsidRDefault="006F5A03" w:rsidP="006F5A03">
      <w:pPr>
        <w:adjustRightInd/>
        <w:snapToGrid/>
        <w:spacing w:after="0" w:line="216" w:lineRule="atLeast"/>
        <w:jc w:val="center"/>
        <w:rPr>
          <w:rFonts w:ascii="inherit" w:eastAsia="宋体" w:hAnsi="inherit" w:cs="宋体" w:hint="eastAsia"/>
          <w:vanish/>
          <w:color w:val="333333"/>
          <w:sz w:val="14"/>
          <w:szCs w:val="14"/>
        </w:rPr>
      </w:pPr>
    </w:p>
    <w:tbl>
      <w:tblPr>
        <w:tblW w:w="9780" w:type="dxa"/>
        <w:jc w:val="center"/>
        <w:tblCellSpacing w:w="0" w:type="dxa"/>
        <w:tblCellMar>
          <w:left w:w="0" w:type="dxa"/>
          <w:right w:w="0" w:type="dxa"/>
        </w:tblCellMar>
        <w:tblLook w:val="04A0"/>
      </w:tblPr>
      <w:tblGrid>
        <w:gridCol w:w="90"/>
        <w:gridCol w:w="264"/>
        <w:gridCol w:w="2160"/>
        <w:gridCol w:w="2160"/>
        <w:gridCol w:w="2160"/>
        <w:gridCol w:w="2856"/>
        <w:gridCol w:w="90"/>
      </w:tblGrid>
      <w:tr w:rsidR="006F5A03" w:rsidRPr="006F5A03">
        <w:trPr>
          <w:tblCellSpacing w:w="0" w:type="dxa"/>
          <w:jc w:val="center"/>
        </w:trPr>
        <w:tc>
          <w:tcPr>
            <w:tcW w:w="48" w:type="dxa"/>
            <w:vAlign w:val="center"/>
            <w:hideMark/>
          </w:tcPr>
          <w:p w:rsidR="006F5A03" w:rsidRPr="006F5A03" w:rsidRDefault="006F5A03" w:rsidP="006F5A03">
            <w:pPr>
              <w:adjustRightInd/>
              <w:snapToGrid/>
              <w:spacing w:after="0" w:line="216" w:lineRule="atLeast"/>
              <w:jc w:val="center"/>
              <w:rPr>
                <w:rFonts w:ascii="inherit" w:eastAsia="宋体" w:hAnsi="inherit" w:cs="宋体"/>
                <w:color w:val="333333"/>
                <w:sz w:val="14"/>
                <w:szCs w:val="14"/>
              </w:rPr>
            </w:pPr>
            <w:r>
              <w:rPr>
                <w:rFonts w:ascii="inherit" w:eastAsia="宋体" w:hAnsi="inherit" w:cs="宋体" w:hint="eastAsia"/>
                <w:noProof/>
                <w:color w:val="333333"/>
                <w:sz w:val="14"/>
                <w:szCs w:val="14"/>
              </w:rPr>
              <w:drawing>
                <wp:inline distT="0" distB="0" distL="0" distR="0">
                  <wp:extent cx="38100" cy="205740"/>
                  <wp:effectExtent l="19050" t="0" r="0" b="0"/>
                  <wp:docPr id="1" name="图片 1" descr="http://www.yingkou.gov.cn/images/de_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ingkou.gov.cn/images/de_07.gif"/>
                          <pic:cNvPicPr>
                            <a:picLocks noChangeAspect="1" noChangeArrowheads="1"/>
                          </pic:cNvPicPr>
                        </pic:nvPicPr>
                        <pic:blipFill>
                          <a:blip r:embed="rId4" cstate="print"/>
                          <a:srcRect/>
                          <a:stretch>
                            <a:fillRect/>
                          </a:stretch>
                        </pic:blipFill>
                        <pic:spPr bwMode="auto">
                          <a:xfrm>
                            <a:off x="0" y="0"/>
                            <a:ext cx="38100" cy="205740"/>
                          </a:xfrm>
                          <a:prstGeom prst="rect">
                            <a:avLst/>
                          </a:prstGeom>
                          <a:noFill/>
                          <a:ln w="9525">
                            <a:noFill/>
                            <a:miter lim="800000"/>
                            <a:headEnd/>
                            <a:tailEnd/>
                          </a:ln>
                        </pic:spPr>
                      </pic:pic>
                    </a:graphicData>
                  </a:graphic>
                </wp:inline>
              </w:drawing>
            </w:r>
          </w:p>
        </w:tc>
        <w:tc>
          <w:tcPr>
            <w:tcW w:w="264" w:type="dxa"/>
            <w:vAlign w:val="center"/>
            <w:hideMark/>
          </w:tcPr>
          <w:p w:rsidR="006F5A03" w:rsidRPr="006F5A03" w:rsidRDefault="006F5A03" w:rsidP="006F5A03">
            <w:pPr>
              <w:adjustRightInd/>
              <w:snapToGrid/>
              <w:spacing w:after="0" w:line="216" w:lineRule="atLeast"/>
              <w:jc w:val="center"/>
              <w:rPr>
                <w:rFonts w:ascii="inherit" w:eastAsia="宋体" w:hAnsi="inherit" w:cs="宋体"/>
                <w:color w:val="333333"/>
                <w:sz w:val="14"/>
                <w:szCs w:val="14"/>
              </w:rPr>
            </w:pPr>
            <w:r w:rsidRPr="006F5A03">
              <w:rPr>
                <w:rFonts w:ascii="inherit" w:eastAsia="宋体" w:hAnsi="inherit" w:cs="宋体"/>
                <w:color w:val="333333"/>
                <w:sz w:val="14"/>
                <w:szCs w:val="14"/>
              </w:rPr>
              <w:t> </w:t>
            </w:r>
          </w:p>
        </w:tc>
        <w:tc>
          <w:tcPr>
            <w:tcW w:w="2160" w:type="dxa"/>
            <w:vAlign w:val="center"/>
            <w:hideMark/>
          </w:tcPr>
          <w:p w:rsidR="006F5A03" w:rsidRPr="006F5A03" w:rsidRDefault="006F5A03" w:rsidP="006F5A03">
            <w:pPr>
              <w:adjustRightInd/>
              <w:snapToGrid/>
              <w:spacing w:after="0" w:line="216" w:lineRule="atLeast"/>
              <w:jc w:val="center"/>
              <w:rPr>
                <w:rFonts w:ascii="inherit" w:eastAsia="宋体" w:hAnsi="inherit" w:cs="宋体"/>
                <w:color w:val="333333"/>
                <w:sz w:val="14"/>
                <w:szCs w:val="14"/>
              </w:rPr>
            </w:pPr>
            <w:r w:rsidRPr="006F5A03">
              <w:rPr>
                <w:rFonts w:ascii="inherit" w:eastAsia="宋体" w:hAnsi="inherit" w:cs="宋体"/>
                <w:color w:val="333333"/>
                <w:sz w:val="14"/>
                <w:szCs w:val="14"/>
              </w:rPr>
              <w:t>来源：</w:t>
            </w:r>
          </w:p>
        </w:tc>
        <w:tc>
          <w:tcPr>
            <w:tcW w:w="2160" w:type="dxa"/>
            <w:vAlign w:val="center"/>
            <w:hideMark/>
          </w:tcPr>
          <w:p w:rsidR="006F5A03" w:rsidRPr="006F5A03" w:rsidRDefault="006F5A03" w:rsidP="006F5A03">
            <w:pPr>
              <w:adjustRightInd/>
              <w:snapToGrid/>
              <w:spacing w:after="0" w:line="216" w:lineRule="atLeast"/>
              <w:jc w:val="center"/>
              <w:rPr>
                <w:rFonts w:ascii="inherit" w:eastAsia="宋体" w:hAnsi="inherit" w:cs="宋体"/>
                <w:color w:val="333333"/>
                <w:sz w:val="14"/>
                <w:szCs w:val="14"/>
              </w:rPr>
            </w:pPr>
            <w:r w:rsidRPr="006F5A03">
              <w:rPr>
                <w:rFonts w:ascii="inherit" w:eastAsia="宋体" w:hAnsi="inherit" w:cs="宋体"/>
                <w:color w:val="333333"/>
                <w:sz w:val="14"/>
                <w:szCs w:val="14"/>
              </w:rPr>
              <w:t>作者：</w:t>
            </w:r>
          </w:p>
        </w:tc>
        <w:tc>
          <w:tcPr>
            <w:tcW w:w="2160" w:type="dxa"/>
            <w:vAlign w:val="center"/>
            <w:hideMark/>
          </w:tcPr>
          <w:p w:rsidR="006F5A03" w:rsidRPr="006F5A03" w:rsidRDefault="006F5A03" w:rsidP="006F5A03">
            <w:pPr>
              <w:adjustRightInd/>
              <w:snapToGrid/>
              <w:spacing w:after="0" w:line="216" w:lineRule="atLeast"/>
              <w:jc w:val="center"/>
              <w:rPr>
                <w:rFonts w:ascii="inherit" w:eastAsia="宋体" w:hAnsi="inherit" w:cs="宋体"/>
                <w:color w:val="333333"/>
                <w:sz w:val="14"/>
                <w:szCs w:val="14"/>
              </w:rPr>
            </w:pPr>
            <w:r w:rsidRPr="006F5A03">
              <w:rPr>
                <w:rFonts w:ascii="inherit" w:eastAsia="宋体" w:hAnsi="inherit" w:cs="宋体"/>
                <w:color w:val="333333"/>
                <w:sz w:val="14"/>
                <w:szCs w:val="14"/>
              </w:rPr>
              <w:t>发布时间：</w:t>
            </w:r>
            <w:r w:rsidRPr="006F5A03">
              <w:rPr>
                <w:rFonts w:ascii="inherit" w:eastAsia="宋体" w:hAnsi="inherit" w:cs="宋体"/>
                <w:color w:val="333333"/>
                <w:sz w:val="14"/>
                <w:szCs w:val="14"/>
              </w:rPr>
              <w:t>2018</w:t>
            </w:r>
            <w:r w:rsidRPr="006F5A03">
              <w:rPr>
                <w:rFonts w:ascii="inherit" w:eastAsia="宋体" w:hAnsi="inherit" w:cs="宋体"/>
                <w:color w:val="333333"/>
                <w:sz w:val="14"/>
                <w:szCs w:val="14"/>
              </w:rPr>
              <w:t>年</w:t>
            </w:r>
            <w:r w:rsidRPr="006F5A03">
              <w:rPr>
                <w:rFonts w:ascii="inherit" w:eastAsia="宋体" w:hAnsi="inherit" w:cs="宋体"/>
                <w:color w:val="333333"/>
                <w:sz w:val="14"/>
                <w:szCs w:val="14"/>
              </w:rPr>
              <w:t>02</w:t>
            </w:r>
            <w:r w:rsidRPr="006F5A03">
              <w:rPr>
                <w:rFonts w:ascii="inherit" w:eastAsia="宋体" w:hAnsi="inherit" w:cs="宋体"/>
                <w:color w:val="333333"/>
                <w:sz w:val="14"/>
                <w:szCs w:val="14"/>
              </w:rPr>
              <w:t>月</w:t>
            </w:r>
            <w:r w:rsidRPr="006F5A03">
              <w:rPr>
                <w:rFonts w:ascii="inherit" w:eastAsia="宋体" w:hAnsi="inherit" w:cs="宋体"/>
                <w:color w:val="333333"/>
                <w:sz w:val="14"/>
                <w:szCs w:val="14"/>
              </w:rPr>
              <w:t>01</w:t>
            </w:r>
            <w:r w:rsidRPr="006F5A03">
              <w:rPr>
                <w:rFonts w:ascii="inherit" w:eastAsia="宋体" w:hAnsi="inherit" w:cs="宋体"/>
                <w:color w:val="333333"/>
                <w:sz w:val="14"/>
                <w:szCs w:val="14"/>
              </w:rPr>
              <w:t>日</w:t>
            </w:r>
          </w:p>
        </w:tc>
        <w:tc>
          <w:tcPr>
            <w:tcW w:w="0" w:type="auto"/>
            <w:vAlign w:val="center"/>
            <w:hideMark/>
          </w:tcPr>
          <w:tbl>
            <w:tblPr>
              <w:tblW w:w="3000" w:type="pct"/>
              <w:jc w:val="right"/>
              <w:tblCellSpacing w:w="0" w:type="dxa"/>
              <w:tblCellMar>
                <w:left w:w="0" w:type="dxa"/>
                <w:right w:w="0" w:type="dxa"/>
              </w:tblCellMar>
              <w:tblLook w:val="04A0"/>
            </w:tblPr>
            <w:tblGrid>
              <w:gridCol w:w="1037"/>
              <w:gridCol w:w="677"/>
            </w:tblGrid>
            <w:tr w:rsidR="006F5A03" w:rsidRPr="006F5A03">
              <w:trPr>
                <w:trHeight w:val="264"/>
                <w:tblCellSpacing w:w="0" w:type="dxa"/>
                <w:jc w:val="right"/>
              </w:trPr>
              <w:tc>
                <w:tcPr>
                  <w:tcW w:w="0" w:type="auto"/>
                  <w:vAlign w:val="center"/>
                  <w:hideMark/>
                </w:tcPr>
                <w:p w:rsidR="006F5A03" w:rsidRPr="006F5A03" w:rsidRDefault="006F5A03" w:rsidP="006F5A03">
                  <w:pPr>
                    <w:adjustRightInd/>
                    <w:snapToGrid/>
                    <w:spacing w:after="0" w:line="216" w:lineRule="atLeast"/>
                    <w:jc w:val="center"/>
                    <w:rPr>
                      <w:rFonts w:ascii="inherit" w:eastAsia="宋体" w:hAnsi="inherit" w:cs="宋体"/>
                      <w:color w:val="333333"/>
                      <w:sz w:val="14"/>
                      <w:szCs w:val="14"/>
                    </w:rPr>
                  </w:pPr>
                  <w:r>
                    <w:rPr>
                      <w:rFonts w:ascii="inherit" w:eastAsia="宋体" w:hAnsi="inherit" w:cs="宋体" w:hint="eastAsia"/>
                      <w:noProof/>
                      <w:color w:val="333333"/>
                      <w:sz w:val="14"/>
                      <w:szCs w:val="14"/>
                    </w:rPr>
                    <w:drawing>
                      <wp:inline distT="0" distB="0" distL="0" distR="0">
                        <wp:extent cx="137160" cy="121920"/>
                        <wp:effectExtent l="19050" t="0" r="0" b="0"/>
                        <wp:docPr id="2" name="图片 2" descr="http://www.yingkou.gov.cn/image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ingkou.gov.cn/images/2.gif"/>
                                <pic:cNvPicPr>
                                  <a:picLocks noChangeAspect="1" noChangeArrowheads="1"/>
                                </pic:cNvPicPr>
                              </pic:nvPicPr>
                              <pic:blipFill>
                                <a:blip r:embed="rId5" cstate="print"/>
                                <a:srcRect/>
                                <a:stretch>
                                  <a:fillRect/>
                                </a:stretch>
                              </pic:blipFill>
                              <pic:spPr bwMode="auto">
                                <a:xfrm>
                                  <a:off x="0" y="0"/>
                                  <a:ext cx="137160" cy="121920"/>
                                </a:xfrm>
                                <a:prstGeom prst="rect">
                                  <a:avLst/>
                                </a:prstGeom>
                                <a:noFill/>
                                <a:ln w="9525">
                                  <a:noFill/>
                                  <a:miter lim="800000"/>
                                  <a:headEnd/>
                                  <a:tailEnd/>
                                </a:ln>
                              </pic:spPr>
                            </pic:pic>
                          </a:graphicData>
                        </a:graphic>
                      </wp:inline>
                    </w:drawing>
                  </w:r>
                  <w:hyperlink r:id="rId6" w:history="1">
                    <w:r w:rsidRPr="006F5A03">
                      <w:rPr>
                        <w:rFonts w:ascii="inherit" w:eastAsia="宋体" w:hAnsi="inherit" w:cs="宋体"/>
                        <w:color w:val="000000"/>
                        <w:sz w:val="14"/>
                      </w:rPr>
                      <w:t>打印网页</w:t>
                    </w:r>
                  </w:hyperlink>
                </w:p>
              </w:tc>
              <w:tc>
                <w:tcPr>
                  <w:tcW w:w="0" w:type="auto"/>
                  <w:vAlign w:val="center"/>
                  <w:hideMark/>
                </w:tcPr>
                <w:p w:rsidR="006F5A03" w:rsidRPr="006F5A03" w:rsidRDefault="006F5A03" w:rsidP="006F5A03">
                  <w:pPr>
                    <w:adjustRightInd/>
                    <w:snapToGrid/>
                    <w:spacing w:after="0" w:line="216" w:lineRule="atLeast"/>
                    <w:jc w:val="center"/>
                    <w:rPr>
                      <w:rFonts w:ascii="inherit" w:eastAsia="宋体" w:hAnsi="inherit" w:cs="宋体"/>
                      <w:color w:val="333333"/>
                      <w:sz w:val="14"/>
                      <w:szCs w:val="14"/>
                    </w:rPr>
                  </w:pPr>
                  <w:r>
                    <w:rPr>
                      <w:rFonts w:ascii="inherit" w:eastAsia="宋体" w:hAnsi="inherit" w:cs="宋体" w:hint="eastAsia"/>
                      <w:noProof/>
                      <w:color w:val="333333"/>
                      <w:sz w:val="14"/>
                      <w:szCs w:val="14"/>
                    </w:rPr>
                    <w:drawing>
                      <wp:inline distT="0" distB="0" distL="0" distR="0">
                        <wp:extent cx="137160" cy="137160"/>
                        <wp:effectExtent l="19050" t="0" r="0" b="0"/>
                        <wp:docPr id="3" name="图片 3" descr="http://www.yingkou.gov.cn/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yingkou.gov.cn/images/1.gif"/>
                                <pic:cNvPicPr>
                                  <a:picLocks noChangeAspect="1" noChangeArrowheads="1"/>
                                </pic:cNvPicPr>
                              </pic:nvPicPr>
                              <pic:blipFill>
                                <a:blip r:embed="rId7"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hyperlink r:id="rId8" w:history="1">
                    <w:r w:rsidRPr="006F5A03">
                      <w:rPr>
                        <w:rFonts w:ascii="inherit" w:eastAsia="宋体" w:hAnsi="inherit" w:cs="宋体"/>
                        <w:color w:val="000000"/>
                        <w:sz w:val="14"/>
                      </w:rPr>
                      <w:t>关闭</w:t>
                    </w:r>
                  </w:hyperlink>
                </w:p>
              </w:tc>
            </w:tr>
          </w:tbl>
          <w:p w:rsidR="006F5A03" w:rsidRPr="006F5A03" w:rsidRDefault="006F5A03" w:rsidP="006F5A03">
            <w:pPr>
              <w:adjustRightInd/>
              <w:snapToGrid/>
              <w:spacing w:after="0" w:line="216" w:lineRule="atLeast"/>
              <w:jc w:val="right"/>
              <w:rPr>
                <w:rFonts w:ascii="inherit" w:eastAsia="宋体" w:hAnsi="inherit" w:cs="宋体"/>
                <w:color w:val="333333"/>
                <w:sz w:val="14"/>
                <w:szCs w:val="14"/>
              </w:rPr>
            </w:pPr>
          </w:p>
        </w:tc>
        <w:tc>
          <w:tcPr>
            <w:tcW w:w="48" w:type="dxa"/>
            <w:vAlign w:val="center"/>
            <w:hideMark/>
          </w:tcPr>
          <w:p w:rsidR="006F5A03" w:rsidRPr="006F5A03" w:rsidRDefault="006F5A03" w:rsidP="006F5A03">
            <w:pPr>
              <w:adjustRightInd/>
              <w:snapToGrid/>
              <w:spacing w:after="0" w:line="216" w:lineRule="atLeast"/>
              <w:jc w:val="right"/>
              <w:rPr>
                <w:rFonts w:ascii="inherit" w:eastAsia="宋体" w:hAnsi="inherit" w:cs="宋体"/>
                <w:color w:val="333333"/>
                <w:sz w:val="14"/>
                <w:szCs w:val="14"/>
              </w:rPr>
            </w:pPr>
            <w:r>
              <w:rPr>
                <w:rFonts w:ascii="inherit" w:eastAsia="宋体" w:hAnsi="inherit" w:cs="宋体" w:hint="eastAsia"/>
                <w:noProof/>
                <w:color w:val="333333"/>
                <w:sz w:val="14"/>
                <w:szCs w:val="14"/>
              </w:rPr>
              <w:drawing>
                <wp:inline distT="0" distB="0" distL="0" distR="0">
                  <wp:extent cx="38100" cy="205740"/>
                  <wp:effectExtent l="19050" t="0" r="0" b="0"/>
                  <wp:docPr id="4" name="图片 4" descr="http://www.yingkou.gov.cn/images/de_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yingkou.gov.cn/images/de_09.gif"/>
                          <pic:cNvPicPr>
                            <a:picLocks noChangeAspect="1" noChangeArrowheads="1"/>
                          </pic:cNvPicPr>
                        </pic:nvPicPr>
                        <pic:blipFill>
                          <a:blip r:embed="rId9" cstate="print"/>
                          <a:srcRect/>
                          <a:stretch>
                            <a:fillRect/>
                          </a:stretch>
                        </pic:blipFill>
                        <pic:spPr bwMode="auto">
                          <a:xfrm>
                            <a:off x="0" y="0"/>
                            <a:ext cx="38100" cy="205740"/>
                          </a:xfrm>
                          <a:prstGeom prst="rect">
                            <a:avLst/>
                          </a:prstGeom>
                          <a:noFill/>
                          <a:ln w="9525">
                            <a:noFill/>
                            <a:miter lim="800000"/>
                            <a:headEnd/>
                            <a:tailEnd/>
                          </a:ln>
                        </pic:spPr>
                      </pic:pic>
                    </a:graphicData>
                  </a:graphic>
                </wp:inline>
              </w:drawing>
            </w:r>
          </w:p>
        </w:tc>
      </w:tr>
    </w:tbl>
    <w:p w:rsidR="006F5A03" w:rsidRPr="006F5A03" w:rsidRDefault="006F5A03" w:rsidP="006F5A03">
      <w:pPr>
        <w:adjustRightInd/>
        <w:snapToGrid/>
        <w:spacing w:after="0" w:line="216" w:lineRule="atLeast"/>
        <w:jc w:val="center"/>
        <w:rPr>
          <w:rFonts w:ascii="inherit" w:eastAsia="宋体" w:hAnsi="inherit" w:cs="宋体" w:hint="eastAsia"/>
          <w:vanish/>
          <w:color w:val="333333"/>
          <w:sz w:val="14"/>
          <w:szCs w:val="14"/>
        </w:rPr>
      </w:pPr>
    </w:p>
    <w:tbl>
      <w:tblPr>
        <w:tblW w:w="9780" w:type="dxa"/>
        <w:jc w:val="center"/>
        <w:tblCellSpacing w:w="0" w:type="dxa"/>
        <w:tblCellMar>
          <w:left w:w="0" w:type="dxa"/>
          <w:right w:w="0" w:type="dxa"/>
        </w:tblCellMar>
        <w:tblLook w:val="04A0"/>
      </w:tblPr>
      <w:tblGrid>
        <w:gridCol w:w="48"/>
        <w:gridCol w:w="9684"/>
        <w:gridCol w:w="48"/>
      </w:tblGrid>
      <w:tr w:rsidR="006F5A03" w:rsidRPr="006F5A03">
        <w:trPr>
          <w:tblCellSpacing w:w="0" w:type="dxa"/>
          <w:jc w:val="center"/>
        </w:trPr>
        <w:tc>
          <w:tcPr>
            <w:tcW w:w="48" w:type="dxa"/>
            <w:vAlign w:val="center"/>
            <w:hideMark/>
          </w:tcPr>
          <w:p w:rsidR="006F5A03" w:rsidRPr="006F5A03" w:rsidRDefault="006F5A03" w:rsidP="006F5A03">
            <w:pPr>
              <w:adjustRightInd/>
              <w:snapToGrid/>
              <w:spacing w:after="0" w:line="216" w:lineRule="atLeast"/>
              <w:jc w:val="center"/>
              <w:rPr>
                <w:rFonts w:ascii="inherit" w:eastAsia="宋体" w:hAnsi="inherit" w:cs="宋体"/>
                <w:color w:val="333333"/>
                <w:sz w:val="14"/>
                <w:szCs w:val="14"/>
              </w:rPr>
            </w:pPr>
            <w:r w:rsidRPr="006F5A03">
              <w:rPr>
                <w:rFonts w:ascii="inherit" w:eastAsia="宋体" w:hAnsi="inherit" w:cs="宋体"/>
                <w:color w:val="333333"/>
                <w:sz w:val="14"/>
                <w:szCs w:val="14"/>
              </w:rPr>
              <w:t> </w:t>
            </w:r>
          </w:p>
        </w:tc>
        <w:tc>
          <w:tcPr>
            <w:tcW w:w="0" w:type="auto"/>
            <w:vAlign w:val="center"/>
            <w:hideMark/>
          </w:tcPr>
          <w:p w:rsidR="006F5A03" w:rsidRPr="006F5A03" w:rsidRDefault="006F5A03" w:rsidP="006F5A03">
            <w:pPr>
              <w:adjustRightInd/>
              <w:snapToGrid/>
              <w:spacing w:after="0" w:line="216" w:lineRule="atLeast"/>
              <w:jc w:val="center"/>
              <w:rPr>
                <w:rFonts w:ascii="inherit" w:eastAsia="宋体" w:hAnsi="inherit" w:cs="宋体"/>
                <w:color w:val="333333"/>
                <w:sz w:val="14"/>
                <w:szCs w:val="14"/>
              </w:rPr>
            </w:pPr>
          </w:p>
        </w:tc>
        <w:tc>
          <w:tcPr>
            <w:tcW w:w="48" w:type="dxa"/>
            <w:vAlign w:val="center"/>
            <w:hideMark/>
          </w:tcPr>
          <w:p w:rsidR="006F5A03" w:rsidRPr="006F5A03" w:rsidRDefault="006F5A03" w:rsidP="006F5A03">
            <w:pPr>
              <w:adjustRightInd/>
              <w:snapToGrid/>
              <w:spacing w:after="0" w:line="216" w:lineRule="atLeast"/>
              <w:jc w:val="right"/>
              <w:rPr>
                <w:rFonts w:ascii="inherit" w:eastAsia="宋体" w:hAnsi="inherit" w:cs="宋体"/>
                <w:color w:val="333333"/>
                <w:sz w:val="14"/>
                <w:szCs w:val="14"/>
              </w:rPr>
            </w:pPr>
            <w:r w:rsidRPr="006F5A03">
              <w:rPr>
                <w:rFonts w:ascii="inherit" w:eastAsia="宋体" w:hAnsi="inherit" w:cs="宋体"/>
                <w:color w:val="333333"/>
                <w:sz w:val="14"/>
                <w:szCs w:val="14"/>
              </w:rPr>
              <w:t> </w:t>
            </w:r>
          </w:p>
        </w:tc>
      </w:tr>
    </w:tbl>
    <w:p w:rsidR="006F5A03" w:rsidRPr="006F5A03" w:rsidRDefault="006F5A03" w:rsidP="006F5A03">
      <w:pPr>
        <w:adjustRightInd/>
        <w:snapToGrid/>
        <w:spacing w:after="0" w:line="216" w:lineRule="atLeast"/>
        <w:jc w:val="center"/>
        <w:rPr>
          <w:rFonts w:ascii="inherit" w:eastAsia="宋体" w:hAnsi="inherit" w:cs="宋体" w:hint="eastAsia"/>
          <w:vanish/>
          <w:color w:val="333333"/>
          <w:sz w:val="14"/>
          <w:szCs w:val="14"/>
        </w:rPr>
      </w:pPr>
    </w:p>
    <w:tbl>
      <w:tblPr>
        <w:tblW w:w="9480" w:type="dxa"/>
        <w:jc w:val="center"/>
        <w:tblCellSpacing w:w="0" w:type="dxa"/>
        <w:tblCellMar>
          <w:left w:w="0" w:type="dxa"/>
          <w:right w:w="0" w:type="dxa"/>
        </w:tblCellMar>
        <w:tblLook w:val="04A0"/>
      </w:tblPr>
      <w:tblGrid>
        <w:gridCol w:w="9480"/>
      </w:tblGrid>
      <w:tr w:rsidR="006F5A03" w:rsidRPr="006F5A03">
        <w:trPr>
          <w:tblCellSpacing w:w="0" w:type="dxa"/>
          <w:jc w:val="center"/>
        </w:trPr>
        <w:tc>
          <w:tcPr>
            <w:tcW w:w="0" w:type="auto"/>
            <w:vAlign w:val="center"/>
            <w:hideMark/>
          </w:tcPr>
          <w:p w:rsidR="006F5A03" w:rsidRPr="006F5A03" w:rsidRDefault="006F5A03" w:rsidP="006F5A03">
            <w:pPr>
              <w:adjustRightInd/>
              <w:snapToGrid/>
              <w:spacing w:before="180" w:after="180" w:line="216" w:lineRule="atLeast"/>
              <w:jc w:val="center"/>
              <w:rPr>
                <w:rFonts w:ascii="inherit" w:eastAsia="宋体" w:hAnsi="inherit" w:cs="宋体"/>
                <w:b/>
                <w:bCs/>
                <w:color w:val="333333"/>
                <w:sz w:val="19"/>
                <w:szCs w:val="19"/>
              </w:rPr>
            </w:pPr>
            <w:r w:rsidRPr="006F5A03">
              <w:rPr>
                <w:rFonts w:ascii="inherit" w:eastAsia="宋体" w:hAnsi="inherit" w:cs="宋体"/>
                <w:b/>
                <w:bCs/>
                <w:color w:val="333333"/>
                <w:sz w:val="19"/>
                <w:szCs w:val="19"/>
              </w:rPr>
              <w:t>营政发〔</w:t>
            </w:r>
            <w:r w:rsidRPr="006F5A03">
              <w:rPr>
                <w:rFonts w:ascii="inherit" w:eastAsia="宋体" w:hAnsi="inherit" w:cs="宋体"/>
                <w:b/>
                <w:bCs/>
                <w:color w:val="333333"/>
                <w:sz w:val="19"/>
                <w:szCs w:val="19"/>
              </w:rPr>
              <w:t>2018</w:t>
            </w:r>
            <w:r w:rsidRPr="006F5A03">
              <w:rPr>
                <w:rFonts w:ascii="inherit" w:eastAsia="宋体" w:hAnsi="inherit" w:cs="宋体"/>
                <w:b/>
                <w:bCs/>
                <w:color w:val="333333"/>
                <w:sz w:val="19"/>
                <w:szCs w:val="19"/>
              </w:rPr>
              <w:t>〕</w:t>
            </w:r>
            <w:r w:rsidRPr="006F5A03">
              <w:rPr>
                <w:rFonts w:ascii="inherit" w:eastAsia="宋体" w:hAnsi="inherit" w:cs="宋体"/>
                <w:b/>
                <w:bCs/>
                <w:color w:val="333333"/>
                <w:sz w:val="19"/>
                <w:szCs w:val="19"/>
              </w:rPr>
              <w:t>1</w:t>
            </w:r>
            <w:r w:rsidRPr="006F5A03">
              <w:rPr>
                <w:rFonts w:ascii="inherit" w:eastAsia="宋体" w:hAnsi="inherit" w:cs="宋体"/>
                <w:b/>
                <w:bCs/>
                <w:color w:val="333333"/>
                <w:sz w:val="19"/>
                <w:szCs w:val="19"/>
              </w:rPr>
              <w:t>号</w:t>
            </w:r>
          </w:p>
        </w:tc>
      </w:tr>
      <w:tr w:rsidR="006F5A03" w:rsidRPr="006F5A03">
        <w:trPr>
          <w:tblCellSpacing w:w="0" w:type="dxa"/>
          <w:jc w:val="center"/>
        </w:trPr>
        <w:tc>
          <w:tcPr>
            <w:tcW w:w="0" w:type="auto"/>
            <w:vAlign w:val="center"/>
            <w:hideMark/>
          </w:tcPr>
          <w:p w:rsidR="006F5A03" w:rsidRPr="006F5A03" w:rsidRDefault="006F5A03" w:rsidP="006F5A03">
            <w:pPr>
              <w:adjustRightInd/>
              <w:snapToGrid/>
              <w:spacing w:after="0"/>
              <w:rPr>
                <w:rFonts w:ascii="宋体" w:eastAsia="宋体" w:hAnsi="宋体" w:cs="宋体"/>
                <w:color w:val="333333"/>
                <w:sz w:val="24"/>
                <w:szCs w:val="24"/>
              </w:rPr>
            </w:pPr>
            <w:r w:rsidRPr="006F5A03">
              <w:rPr>
                <w:rFonts w:ascii="宋体" w:eastAsia="宋体" w:hAnsi="宋体" w:cs="宋体" w:hint="eastAsia"/>
                <w:color w:val="333333"/>
                <w:sz w:val="24"/>
                <w:szCs w:val="24"/>
              </w:rPr>
              <w:t xml:space="preserve">　　各县（市）区人民政府，市政府各部门、各派出机构、各直属单位：</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《营口市推进科技创新十项政策》业经2017年12月12日第十五届市政府第76次常务会议审议通过，现予印发，请认真贯彻执行。</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营口市人民政府</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2018年1月11日</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（此件公开发布）</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营口市推进科技创新十项政策</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为全面贯彻落实中共中央、国务院《国家创新驱动发展战略纲要》和辽宁省委、省政府《关于贯彻〈国家创新驱动发展战略纲要〉建设科技强省的实施意见》、《辽宁省科技强省工程（2017—2020年）实施方案》以及营口市委、市政府《营口市科技强市工程（2017—2020年）实施方案》精神，充分发挥科技创新引领经济社会发展的重大作用，推动营口振兴发展，现制定和明确如下政策。</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一、支持企业申报高新技术企业</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自2017年度起，对高新技术企业，实行事后补助。首次认定的给予一次性奖励20万元，重新认定的给予一次性奖励10万元。</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二、支持中小微企业申领科技创新券</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采取事后补助方式，支持中小微企业通过申领科技创新券，向高校、科研院所购买技术和科技服务。企业申领的科技创新券总额原则上不高于20万元。</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三、支持科技创新平台建设</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对在营口设立并经批准为国家重点实验室、国家技术创新中心的单位，一次性奖励研发经费100万元；对我市获批省级工程技术研究中心、重点实验室和产业技术创新平台（专业、共性、综合服务平台）的单位，一次性奖励10万元。</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四、支持产业技术创新战略联盟组建</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对我市首次获批的产业技术创新战略联盟试点的盟主单位或联盟常设机构所在单位，国家级的一次性奖励20万元；省级的一次性奖励10万元。</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五、支持双创业态发展</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对经科技部公布备案，纳入国家级科技企业孵化器管理服务体系的众创空间、专业化众创空间，一次性给予奖励10万元。同时通过事后补助方式，按3年周期分年度实施，每年对实际发生的开办建设运营等费用，给予不超过10万元的补贴。</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经科技部门组织，企业参加中国创新创业大赛，获得行业赛一等奖、二等奖、三等奖的，分别给予50万元、40万元、30万元奖励资金；参加辽宁省创新创业大赛，获得行业赛一等奖、二等奖、三等奖的，分别给予20万元、10万元、5万元奖励资金；参加营口创新创业大赛，获得一等奖、二等奖、三等奖的，分别给予3万元、2万元、1万元奖励资金。</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六、支持研发投入和科技成果转化</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对我市创新主体按国家及《统计法》规定，向统计部门如实上报的上一年度研发经费支出，按一定比例标准，给予资金奖励。其中，研发经费支出额在10万元（含）至2000万元之间的，给予研发经费支出额的1%奖励；在2000万元（含）至5000万元之间的，对</w:t>
            </w:r>
            <w:r w:rsidRPr="006F5A03">
              <w:rPr>
                <w:rFonts w:ascii="宋体" w:eastAsia="宋体" w:hAnsi="宋体" w:cs="宋体" w:hint="eastAsia"/>
                <w:color w:val="333333"/>
                <w:sz w:val="24"/>
                <w:szCs w:val="24"/>
              </w:rPr>
              <w:lastRenderedPageBreak/>
              <w:t>2000万元给予20万元基础奖励、2000万元以上部分，每增加500万元给予1万元增额奖励；在5000万元（含）至1亿元之间的，对5000万元给予30万元基础奖励、5000万元以上部分，每增加1000万元给予3万元增额奖励；在1亿元（含）至5亿元之间的，对1亿元给予50万元基础奖励、1亿元以上部分，每增加1亿元给予10万元增额奖励；在5亿元（含）以上的，给予100万元奖励。</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对我市企业通过引进、合作的科技成果或自主研发的专利技术在我市转化，并达到一定的销售规模，按已完成研发投入或已完成技术交易额的5%，给予不超过50万元资金奖励。</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对经我市认定登记且已实施的技术合同，按照实际发生的技术合同成交额4‰，给予不超过5万元的奖励。</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七、支持专业化科技服务机构建设</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支持高等院校、科研院所在营口注册成立技术转移专业机构。对获批为“国家级技术转移示范机构”的单位，一次性给予30万元奖励；对获批为“省级技术转移示范机构”的单位，一次性给予10万元奖励。</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对在营口设立并经认定备案的科技服务机构，根据其上一年在营口地区科技服务量化评定情况，每年给予不超过10万元的事后补助。</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八、支持科技金融发展</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对我市科技型中小企业、高新技术企业，以知识产权有效质押达到一定比例和以高新技术企业资格信用向银行贷款的，按年度实际付息额的20%，给予资金补助，最高不超过20万元。</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九、支持发明创造和产品创新</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对国外授权发明专利每件补助额度3万元；国内授权发明专利每件补助额度0.2万元。对贯彻知识产权管理规范（国家标准GB/T 29490—2013）的企业一次性奖励10万元。对获得中国专利金奖及中国外观设计金奖的项目一次性奖励20万元。对获得国家知识产权示范企业给予5万元奖励；对获得国家知识产权优势企业给予3万元奖励。</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十、支持高层次科技人才培养</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对我市获得国家自然科学奖、国家技术发明奖、国家科学技术进步奖的项目完成人，给予与国家奖励额度相同的资金奖励。</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对我市当选国家创新人才推进计划中的“中青年科技创新领军人才或科技创新创业人才”，一次性给予10万奖励。</w:t>
            </w:r>
          </w:p>
          <w:p w:rsidR="006F5A03" w:rsidRPr="006F5A03" w:rsidRDefault="006F5A03" w:rsidP="006F5A03">
            <w:pPr>
              <w:adjustRightInd/>
              <w:snapToGrid/>
              <w:spacing w:after="0"/>
              <w:rPr>
                <w:rFonts w:ascii="宋体" w:eastAsia="宋体" w:hAnsi="宋体" w:cs="宋体" w:hint="eastAsia"/>
                <w:color w:val="333333"/>
                <w:sz w:val="24"/>
                <w:szCs w:val="24"/>
              </w:rPr>
            </w:pPr>
            <w:r w:rsidRPr="006F5A03">
              <w:rPr>
                <w:rFonts w:ascii="宋体" w:eastAsia="宋体" w:hAnsi="宋体" w:cs="宋体" w:hint="eastAsia"/>
                <w:color w:val="333333"/>
                <w:sz w:val="24"/>
                <w:szCs w:val="24"/>
              </w:rPr>
              <w:t xml:space="preserve">　　同一企业（机构）的同一个项目（技术），多级获奖（或补助）的，以最高等次奖励补助，不予重复奖励补助。在申请政策资金过程中，有弄虚作假骗取、套取政策资金等违法违纪行为的，可依照《财政违法行为处罚处分条例》（国务院第427号令）的规定进行处理。</w:t>
            </w:r>
          </w:p>
          <w:p w:rsidR="006F5A03" w:rsidRPr="006F5A03" w:rsidRDefault="006F5A03" w:rsidP="006F5A03">
            <w:pPr>
              <w:adjustRightInd/>
              <w:snapToGrid/>
              <w:spacing w:after="0"/>
              <w:rPr>
                <w:rFonts w:ascii="宋体" w:eastAsia="宋体" w:hAnsi="宋体" w:cs="宋体"/>
                <w:color w:val="333333"/>
                <w:sz w:val="24"/>
                <w:szCs w:val="24"/>
              </w:rPr>
            </w:pPr>
            <w:r w:rsidRPr="006F5A03">
              <w:rPr>
                <w:rFonts w:ascii="宋体" w:eastAsia="宋体" w:hAnsi="宋体" w:cs="宋体" w:hint="eastAsia"/>
                <w:color w:val="333333"/>
                <w:sz w:val="24"/>
                <w:szCs w:val="24"/>
              </w:rPr>
              <w:t xml:space="preserve">　　本政策自发布之日起实施，有效期至2020年12月31日止。</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6F5A03"/>
    <w:rsid w:val="008B7726"/>
    <w:rsid w:val="00B455BD"/>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5A03"/>
    <w:rPr>
      <w:rFonts w:ascii="inherit" w:hAnsi="inherit" w:hint="default"/>
      <w:strike w:val="0"/>
      <w:dstrike w:val="0"/>
      <w:color w:val="000000"/>
      <w:u w:val="none"/>
      <w:effect w:val="none"/>
      <w:bdr w:val="none" w:sz="0" w:space="0" w:color="auto" w:frame="1"/>
    </w:rPr>
  </w:style>
  <w:style w:type="paragraph" w:styleId="a4">
    <w:name w:val="Balloon Text"/>
    <w:basedOn w:val="a"/>
    <w:link w:val="Char"/>
    <w:uiPriority w:val="99"/>
    <w:semiHidden/>
    <w:unhideWhenUsed/>
    <w:rsid w:val="006F5A03"/>
    <w:pPr>
      <w:spacing w:after="0"/>
    </w:pPr>
    <w:rPr>
      <w:sz w:val="18"/>
      <w:szCs w:val="18"/>
    </w:rPr>
  </w:style>
  <w:style w:type="character" w:customStyle="1" w:styleId="Char">
    <w:name w:val="批注框文本 Char"/>
    <w:basedOn w:val="a0"/>
    <w:link w:val="a4"/>
    <w:uiPriority w:val="99"/>
    <w:semiHidden/>
    <w:rsid w:val="006F5A03"/>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436246772">
      <w:bodyDiv w:val="1"/>
      <w:marLeft w:val="0"/>
      <w:marRight w:val="0"/>
      <w:marTop w:val="0"/>
      <w:marBottom w:val="0"/>
      <w:divBdr>
        <w:top w:val="none" w:sz="0" w:space="0" w:color="auto"/>
        <w:left w:val="none" w:sz="0" w:space="0" w:color="auto"/>
        <w:bottom w:val="none" w:sz="0" w:space="0" w:color="auto"/>
        <w:right w:val="none" w:sz="0" w:space="0" w:color="auto"/>
      </w:divBdr>
      <w:divsChild>
        <w:div w:id="1164055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ingkou.gov.cn/xxgk/gfxwj/zfwj/201802/t20180201_1237197.html" TargetMode="External"/><Relationship Id="rId3" Type="http://schemas.openxmlformats.org/officeDocument/2006/relationships/webSettings" Target="webSettings.xml"/><Relationship Id="rId7" Type="http://schemas.openxmlformats.org/officeDocument/2006/relationships/image" Target="media/image3.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ingkou.gov.cn/xxgk/gfxwj/zfwj/201802/t20180201_1237197.html" TargetMode="External"/><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4.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2018-09-19T15:29:00Z</dcterms:modified>
</cp:coreProperties>
</file>