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A94290">
      <w:pPr>
        <w:pStyle w:val="a5"/>
        <w:shd w:val="clear" w:color="auto" w:fill="FFFFFF"/>
        <w:spacing w:after="0" w:afterAutospacing="0" w:line="480" w:lineRule="auto"/>
        <w:ind w:firstLine="480"/>
        <w:jc w:val="center"/>
        <w:divId w:val="1716930887"/>
        <w:rPr>
          <w:rFonts w:hint="eastAsia"/>
          <w:color w:val="535353"/>
          <w:sz w:val="21"/>
          <w:szCs w:val="21"/>
        </w:rPr>
      </w:pPr>
      <w:r>
        <w:rPr>
          <w:rFonts w:hint="eastAsia"/>
          <w:color w:val="535353"/>
          <w:sz w:val="21"/>
          <w:szCs w:val="21"/>
        </w:rPr>
        <w:t>仲恺高新区管委会关于印发</w:t>
      </w:r>
      <w:proofErr w:type="gramStart"/>
      <w:r>
        <w:rPr>
          <w:rFonts w:hint="eastAsia"/>
          <w:color w:val="535353"/>
          <w:sz w:val="21"/>
          <w:szCs w:val="21"/>
        </w:rPr>
        <w:t>《</w:t>
      </w:r>
      <w:proofErr w:type="gramEnd"/>
      <w:r>
        <w:rPr>
          <w:rFonts w:hint="eastAsia"/>
          <w:color w:val="535353"/>
          <w:sz w:val="21"/>
          <w:szCs w:val="21"/>
        </w:rPr>
        <w:t>仲恺高新区</w:t>
      </w:r>
    </w:p>
    <w:p w:rsidR="00000000" w:rsidRDefault="00A94290">
      <w:pPr>
        <w:pStyle w:val="a5"/>
        <w:shd w:val="clear" w:color="auto" w:fill="FFFFFF"/>
        <w:spacing w:after="0" w:afterAutospacing="0" w:line="480" w:lineRule="auto"/>
        <w:ind w:firstLine="480"/>
        <w:jc w:val="center"/>
        <w:divId w:val="1716930887"/>
        <w:rPr>
          <w:rFonts w:hint="eastAsia"/>
          <w:color w:val="535353"/>
          <w:sz w:val="21"/>
          <w:szCs w:val="21"/>
        </w:rPr>
      </w:pPr>
      <w:r>
        <w:rPr>
          <w:rFonts w:hint="eastAsia"/>
          <w:color w:val="535353"/>
          <w:sz w:val="21"/>
          <w:szCs w:val="21"/>
        </w:rPr>
        <w:t>推进专利工作实施办法</w:t>
      </w:r>
      <w:proofErr w:type="gramStart"/>
      <w:r>
        <w:rPr>
          <w:rFonts w:hint="eastAsia"/>
          <w:color w:val="535353"/>
          <w:sz w:val="21"/>
          <w:szCs w:val="21"/>
        </w:rPr>
        <w:t>》</w:t>
      </w:r>
      <w:proofErr w:type="gramEnd"/>
      <w:r>
        <w:rPr>
          <w:rFonts w:hint="eastAsia"/>
          <w:color w:val="535353"/>
          <w:sz w:val="21"/>
          <w:szCs w:val="21"/>
        </w:rPr>
        <w:t>的通知</w:t>
      </w:r>
    </w:p>
    <w:p w:rsidR="00000000" w:rsidRDefault="00A94290">
      <w:pPr>
        <w:pStyle w:val="a5"/>
        <w:shd w:val="clear" w:color="auto" w:fill="FFFFFF"/>
        <w:spacing w:after="0" w:afterAutospacing="0" w:line="480" w:lineRule="auto"/>
        <w:ind w:firstLine="480"/>
        <w:jc w:val="center"/>
        <w:divId w:val="1716930887"/>
        <w:rPr>
          <w:rFonts w:hint="eastAsia"/>
          <w:color w:val="535353"/>
          <w:sz w:val="21"/>
          <w:szCs w:val="21"/>
        </w:rPr>
      </w:pPr>
      <w:proofErr w:type="gramStart"/>
      <w:r>
        <w:rPr>
          <w:rFonts w:hint="eastAsia"/>
          <w:color w:val="535353"/>
          <w:sz w:val="21"/>
          <w:szCs w:val="21"/>
        </w:rPr>
        <w:t>惠仲委</w:t>
      </w:r>
      <w:proofErr w:type="gramEnd"/>
      <w:r>
        <w:rPr>
          <w:rFonts w:hint="eastAsia"/>
          <w:color w:val="535353"/>
          <w:sz w:val="21"/>
          <w:szCs w:val="21"/>
        </w:rPr>
        <w:t>〔</w:t>
      </w:r>
      <w:r>
        <w:rPr>
          <w:rFonts w:hint="eastAsia"/>
          <w:color w:val="535353"/>
          <w:sz w:val="21"/>
          <w:szCs w:val="21"/>
        </w:rPr>
        <w:t>2017</w:t>
      </w:r>
      <w:r>
        <w:rPr>
          <w:rFonts w:hint="eastAsia"/>
          <w:color w:val="535353"/>
          <w:sz w:val="21"/>
          <w:szCs w:val="21"/>
        </w:rPr>
        <w:t>〕</w:t>
      </w:r>
      <w:r>
        <w:rPr>
          <w:rFonts w:hint="eastAsia"/>
          <w:color w:val="535353"/>
          <w:sz w:val="21"/>
          <w:szCs w:val="21"/>
        </w:rPr>
        <w:t>45</w:t>
      </w:r>
      <w:r>
        <w:rPr>
          <w:rFonts w:hint="eastAsia"/>
          <w:color w:val="535353"/>
          <w:sz w:val="21"/>
          <w:szCs w:val="21"/>
        </w:rPr>
        <w:t>号</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各园区，各镇（街道），区直及驻仲恺各单位：</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《仲恺高新区推进专利工作实施办法》业经区管委会常务会议（</w:t>
      </w:r>
      <w:proofErr w:type="gramStart"/>
      <w:r>
        <w:rPr>
          <w:rFonts w:hint="eastAsia"/>
          <w:color w:val="535353"/>
          <w:sz w:val="21"/>
          <w:szCs w:val="21"/>
        </w:rPr>
        <w:t>惠仲常务</w:t>
      </w:r>
      <w:proofErr w:type="gramEnd"/>
      <w:r>
        <w:rPr>
          <w:rFonts w:hint="eastAsia"/>
          <w:color w:val="535353"/>
          <w:sz w:val="21"/>
          <w:szCs w:val="21"/>
        </w:rPr>
        <w:t>纪〔</w:t>
      </w:r>
      <w:r>
        <w:rPr>
          <w:rFonts w:hint="eastAsia"/>
          <w:color w:val="535353"/>
          <w:sz w:val="21"/>
          <w:szCs w:val="21"/>
        </w:rPr>
        <w:t>2017</w:t>
      </w:r>
      <w:r>
        <w:rPr>
          <w:rFonts w:hint="eastAsia"/>
          <w:color w:val="535353"/>
          <w:sz w:val="21"/>
          <w:szCs w:val="21"/>
        </w:rPr>
        <w:t>〕</w:t>
      </w:r>
      <w:r>
        <w:rPr>
          <w:rFonts w:hint="eastAsia"/>
          <w:color w:val="535353"/>
          <w:sz w:val="21"/>
          <w:szCs w:val="21"/>
        </w:rPr>
        <w:t>8</w:t>
      </w:r>
      <w:r>
        <w:rPr>
          <w:rFonts w:hint="eastAsia"/>
          <w:color w:val="535353"/>
          <w:sz w:val="21"/>
          <w:szCs w:val="21"/>
        </w:rPr>
        <w:t>号）通过，现印发给你们，请认真贯彻执行。执行过程中遇到的问题，请径向区科技</w:t>
      </w:r>
      <w:proofErr w:type="gramStart"/>
      <w:r>
        <w:rPr>
          <w:rFonts w:hint="eastAsia"/>
          <w:color w:val="535353"/>
          <w:sz w:val="21"/>
          <w:szCs w:val="21"/>
        </w:rPr>
        <w:t>创新局</w:t>
      </w:r>
      <w:proofErr w:type="gramEnd"/>
      <w:r>
        <w:rPr>
          <w:rFonts w:hint="eastAsia"/>
          <w:color w:val="535353"/>
          <w:sz w:val="21"/>
          <w:szCs w:val="21"/>
        </w:rPr>
        <w:t>反映。</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 xml:space="preserve">                                    </w:t>
      </w:r>
      <w:r>
        <w:rPr>
          <w:rFonts w:hint="eastAsia"/>
          <w:color w:val="535353"/>
          <w:sz w:val="21"/>
          <w:szCs w:val="21"/>
        </w:rPr>
        <w:t xml:space="preserve">                                                                                  </w:t>
      </w:r>
      <w:r>
        <w:rPr>
          <w:rFonts w:hint="eastAsia"/>
          <w:color w:val="535353"/>
          <w:sz w:val="21"/>
          <w:szCs w:val="21"/>
        </w:rPr>
        <w:t>仲恺高新区管委会</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                                                                                                                        2017</w:t>
      </w:r>
      <w:r>
        <w:rPr>
          <w:rFonts w:hint="eastAsia"/>
          <w:color w:val="535353"/>
          <w:sz w:val="21"/>
          <w:szCs w:val="21"/>
        </w:rPr>
        <w:t>年</w:t>
      </w:r>
      <w:r>
        <w:rPr>
          <w:rFonts w:hint="eastAsia"/>
          <w:color w:val="535353"/>
          <w:sz w:val="21"/>
          <w:szCs w:val="21"/>
        </w:rPr>
        <w:t>8</w:t>
      </w:r>
      <w:r>
        <w:rPr>
          <w:rFonts w:hint="eastAsia"/>
          <w:color w:val="535353"/>
          <w:sz w:val="21"/>
          <w:szCs w:val="21"/>
        </w:rPr>
        <w:t>月</w:t>
      </w:r>
      <w:r>
        <w:rPr>
          <w:rFonts w:hint="eastAsia"/>
          <w:color w:val="535353"/>
          <w:sz w:val="21"/>
          <w:szCs w:val="21"/>
        </w:rPr>
        <w:t>18</w:t>
      </w:r>
      <w:r>
        <w:rPr>
          <w:rFonts w:hint="eastAsia"/>
          <w:color w:val="535353"/>
          <w:sz w:val="21"/>
          <w:szCs w:val="21"/>
        </w:rPr>
        <w:t>日</w:t>
      </w:r>
    </w:p>
    <w:p w:rsidR="00000000" w:rsidRDefault="00A94290">
      <w:pPr>
        <w:pStyle w:val="a5"/>
        <w:shd w:val="clear" w:color="auto" w:fill="FFFFFF"/>
        <w:spacing w:after="0" w:afterAutospacing="0" w:line="480" w:lineRule="auto"/>
        <w:ind w:firstLine="480"/>
        <w:jc w:val="center"/>
        <w:divId w:val="1716930887"/>
        <w:rPr>
          <w:rFonts w:hint="eastAsia"/>
          <w:color w:val="535353"/>
          <w:sz w:val="21"/>
          <w:szCs w:val="21"/>
        </w:rPr>
      </w:pPr>
      <w:r>
        <w:rPr>
          <w:rFonts w:hint="eastAsia"/>
          <w:color w:val="535353"/>
          <w:sz w:val="21"/>
          <w:szCs w:val="21"/>
        </w:rPr>
        <w:t>仲恺高新区推进专利工作实施办法</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为深入实施知识产权战略，进一步提升我</w:t>
      </w:r>
      <w:r>
        <w:rPr>
          <w:rFonts w:hint="eastAsia"/>
          <w:color w:val="535353"/>
          <w:sz w:val="21"/>
          <w:szCs w:val="21"/>
        </w:rPr>
        <w:t>区知识产权创造、运用、保护、管理和服务能力，充分发挥知识产权对经济社会发展的支撑作用，根据《国务院办公厅印发</w:t>
      </w:r>
      <w:r>
        <w:rPr>
          <w:rFonts w:hint="eastAsia"/>
          <w:color w:val="535353"/>
          <w:sz w:val="21"/>
          <w:szCs w:val="21"/>
        </w:rPr>
        <w:t>&lt;</w:t>
      </w:r>
      <w:r>
        <w:rPr>
          <w:rFonts w:hint="eastAsia"/>
          <w:color w:val="535353"/>
          <w:sz w:val="21"/>
          <w:szCs w:val="21"/>
        </w:rPr>
        <w:t>国务院关于新形势下加快知识产权强国建设的若干意见</w:t>
      </w:r>
      <w:r>
        <w:rPr>
          <w:rFonts w:hint="eastAsia"/>
          <w:color w:val="535353"/>
          <w:sz w:val="21"/>
          <w:szCs w:val="21"/>
        </w:rPr>
        <w:t>&gt;</w:t>
      </w:r>
      <w:r>
        <w:rPr>
          <w:rFonts w:hint="eastAsia"/>
          <w:color w:val="535353"/>
          <w:sz w:val="21"/>
          <w:szCs w:val="21"/>
        </w:rPr>
        <w:t>重点任务分工方案的通知》（国办函〔</w:t>
      </w:r>
      <w:r>
        <w:rPr>
          <w:rFonts w:hint="eastAsia"/>
          <w:color w:val="535353"/>
          <w:sz w:val="21"/>
          <w:szCs w:val="21"/>
        </w:rPr>
        <w:t>2016</w:t>
      </w:r>
      <w:r>
        <w:rPr>
          <w:rFonts w:hint="eastAsia"/>
          <w:color w:val="535353"/>
          <w:sz w:val="21"/>
          <w:szCs w:val="21"/>
        </w:rPr>
        <w:t>〕</w:t>
      </w:r>
      <w:r>
        <w:rPr>
          <w:rFonts w:hint="eastAsia"/>
          <w:color w:val="535353"/>
          <w:sz w:val="21"/>
          <w:szCs w:val="21"/>
        </w:rPr>
        <w:t>66</w:t>
      </w:r>
      <w:r>
        <w:rPr>
          <w:rFonts w:hint="eastAsia"/>
          <w:color w:val="535353"/>
          <w:sz w:val="21"/>
          <w:szCs w:val="21"/>
        </w:rPr>
        <w:t>号）、《中共惠州市委惠州市人民政府关于贯彻落实〈中共广东省委、广东省人民政府关于加快建设知识产权强省的决定〉的实施意见》（惠市委发〔</w:t>
      </w:r>
      <w:r>
        <w:rPr>
          <w:rFonts w:hint="eastAsia"/>
          <w:color w:val="535353"/>
          <w:sz w:val="21"/>
          <w:szCs w:val="21"/>
        </w:rPr>
        <w:t>2012</w:t>
      </w:r>
      <w:r>
        <w:rPr>
          <w:rFonts w:hint="eastAsia"/>
          <w:color w:val="535353"/>
          <w:sz w:val="21"/>
          <w:szCs w:val="21"/>
        </w:rPr>
        <w:t>〕</w:t>
      </w:r>
      <w:r>
        <w:rPr>
          <w:rFonts w:hint="eastAsia"/>
          <w:color w:val="535353"/>
          <w:sz w:val="21"/>
          <w:szCs w:val="21"/>
        </w:rPr>
        <w:t>16</w:t>
      </w:r>
      <w:r>
        <w:rPr>
          <w:rFonts w:hint="eastAsia"/>
          <w:color w:val="535353"/>
          <w:sz w:val="21"/>
          <w:szCs w:val="21"/>
        </w:rPr>
        <w:t>号）、《惠州市人民政府关于推进惠州市专利工作的实施意见》（</w:t>
      </w:r>
      <w:proofErr w:type="gramStart"/>
      <w:r>
        <w:rPr>
          <w:rFonts w:hint="eastAsia"/>
          <w:color w:val="535353"/>
          <w:sz w:val="21"/>
          <w:szCs w:val="21"/>
        </w:rPr>
        <w:t>惠府〔</w:t>
      </w:r>
      <w:r>
        <w:rPr>
          <w:rFonts w:hint="eastAsia"/>
          <w:color w:val="535353"/>
          <w:sz w:val="21"/>
          <w:szCs w:val="21"/>
        </w:rPr>
        <w:t>2016</w:t>
      </w:r>
      <w:r>
        <w:rPr>
          <w:rFonts w:hint="eastAsia"/>
          <w:color w:val="535353"/>
          <w:sz w:val="21"/>
          <w:szCs w:val="21"/>
        </w:rPr>
        <w:t>〕</w:t>
      </w:r>
      <w:proofErr w:type="gramEnd"/>
      <w:r>
        <w:rPr>
          <w:rFonts w:hint="eastAsia"/>
          <w:color w:val="535353"/>
          <w:sz w:val="21"/>
          <w:szCs w:val="21"/>
        </w:rPr>
        <w:t>32</w:t>
      </w:r>
      <w:r>
        <w:rPr>
          <w:rFonts w:hint="eastAsia"/>
          <w:color w:val="535353"/>
          <w:sz w:val="21"/>
          <w:szCs w:val="21"/>
        </w:rPr>
        <w:t>号）等文件精神，结合我区实际，特制定本办法。</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第一章专利申请与授权资助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第一条专</w:t>
      </w:r>
      <w:r>
        <w:rPr>
          <w:rFonts w:hint="eastAsia"/>
          <w:color w:val="535353"/>
          <w:sz w:val="21"/>
          <w:szCs w:val="21"/>
        </w:rPr>
        <w:t>利申请费用资助对象：</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（一）辖区内注册的企事业单位、社会组织机构并以仲恺高新区地址申请专利的；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（二）辖区内居民、企事业单位职工、学生或前孵化项目的项目负责人以仲恺高新区地址申请专利的；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（三）共同专利申请人中的第一申请人视为上款规定的单位或个人。</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第二条申请市级资助的单位或个人，按照《惠州市人民政府关于推进惠州市专利工作实施意见》（</w:t>
      </w:r>
      <w:proofErr w:type="gramStart"/>
      <w:r>
        <w:rPr>
          <w:rFonts w:hint="eastAsia"/>
          <w:color w:val="535353"/>
          <w:sz w:val="21"/>
          <w:szCs w:val="21"/>
        </w:rPr>
        <w:t>惠府〔</w:t>
      </w:r>
      <w:r>
        <w:rPr>
          <w:rFonts w:hint="eastAsia"/>
          <w:color w:val="535353"/>
          <w:sz w:val="21"/>
          <w:szCs w:val="21"/>
        </w:rPr>
        <w:t>2016</w:t>
      </w:r>
      <w:r>
        <w:rPr>
          <w:rFonts w:hint="eastAsia"/>
          <w:color w:val="535353"/>
          <w:sz w:val="21"/>
          <w:szCs w:val="21"/>
        </w:rPr>
        <w:t>〕</w:t>
      </w:r>
      <w:proofErr w:type="gramEnd"/>
      <w:r>
        <w:rPr>
          <w:rFonts w:hint="eastAsia"/>
          <w:color w:val="535353"/>
          <w:sz w:val="21"/>
          <w:szCs w:val="21"/>
        </w:rPr>
        <w:t>32</w:t>
      </w:r>
      <w:r>
        <w:rPr>
          <w:rFonts w:hint="eastAsia"/>
          <w:color w:val="535353"/>
          <w:sz w:val="21"/>
          <w:szCs w:val="21"/>
        </w:rPr>
        <w:t>号）、《惠州市知识产权局财政局关于推进惠州市专利工作实施意见的操作规程》（</w:t>
      </w:r>
      <w:proofErr w:type="gramStart"/>
      <w:r>
        <w:rPr>
          <w:rFonts w:hint="eastAsia"/>
          <w:color w:val="535353"/>
          <w:sz w:val="21"/>
          <w:szCs w:val="21"/>
        </w:rPr>
        <w:t>惠市知字</w:t>
      </w:r>
      <w:proofErr w:type="gramEnd"/>
      <w:r>
        <w:rPr>
          <w:rFonts w:hint="eastAsia"/>
          <w:color w:val="535353"/>
          <w:sz w:val="21"/>
          <w:szCs w:val="21"/>
        </w:rPr>
        <w:t>〔</w:t>
      </w:r>
      <w:r>
        <w:rPr>
          <w:rFonts w:hint="eastAsia"/>
          <w:color w:val="535353"/>
          <w:sz w:val="21"/>
          <w:szCs w:val="21"/>
        </w:rPr>
        <w:t>2016</w:t>
      </w:r>
      <w:r>
        <w:rPr>
          <w:rFonts w:hint="eastAsia"/>
          <w:color w:val="535353"/>
          <w:sz w:val="21"/>
          <w:szCs w:val="21"/>
        </w:rPr>
        <w:t>〕</w:t>
      </w:r>
      <w:r>
        <w:rPr>
          <w:rFonts w:hint="eastAsia"/>
          <w:color w:val="535353"/>
          <w:sz w:val="21"/>
          <w:szCs w:val="21"/>
        </w:rPr>
        <w:t>36</w:t>
      </w:r>
      <w:r>
        <w:rPr>
          <w:rFonts w:hint="eastAsia"/>
          <w:color w:val="535353"/>
          <w:sz w:val="21"/>
          <w:szCs w:val="21"/>
        </w:rPr>
        <w:t>号）文件规定，提出资助申请，并提交相应材料，由区科技</w:t>
      </w:r>
      <w:proofErr w:type="gramStart"/>
      <w:r>
        <w:rPr>
          <w:rFonts w:hint="eastAsia"/>
          <w:color w:val="535353"/>
          <w:sz w:val="21"/>
          <w:szCs w:val="21"/>
        </w:rPr>
        <w:t>创新局</w:t>
      </w:r>
      <w:proofErr w:type="gramEnd"/>
      <w:r>
        <w:rPr>
          <w:rFonts w:hint="eastAsia"/>
          <w:color w:val="535353"/>
          <w:sz w:val="21"/>
          <w:szCs w:val="21"/>
        </w:rPr>
        <w:t>进行初审，对符合条件的专利资助向市知识产权局提交资助申请，不符合条件的予以退回并告知原因。</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第三条区级代理费资助：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（一）辖区内中小型企业（年销售额不超过</w:t>
      </w:r>
      <w:r>
        <w:rPr>
          <w:rFonts w:hint="eastAsia"/>
          <w:color w:val="535353"/>
          <w:sz w:val="21"/>
          <w:szCs w:val="21"/>
        </w:rPr>
        <w:t>3</w:t>
      </w:r>
      <w:r>
        <w:rPr>
          <w:rFonts w:hint="eastAsia"/>
          <w:color w:val="535353"/>
          <w:sz w:val="21"/>
          <w:szCs w:val="21"/>
        </w:rPr>
        <w:t>亿元）、居民、企事业单位职工或前孵化项目的项目负责人委托惠州市合法的专利代理机构（属异地或海外孵化企业的，可以是当地合法专利代理机构），以仲恺高新区内地址申请发明专利、实用新型专利且获授权的，其发生的代理费经审核批准后，按发明专利不超过</w:t>
      </w:r>
      <w:r>
        <w:rPr>
          <w:rFonts w:hint="eastAsia"/>
          <w:color w:val="535353"/>
          <w:sz w:val="21"/>
          <w:szCs w:val="21"/>
        </w:rPr>
        <w:t>4000</w:t>
      </w:r>
      <w:r>
        <w:rPr>
          <w:rFonts w:hint="eastAsia"/>
          <w:color w:val="535353"/>
          <w:sz w:val="21"/>
          <w:szCs w:val="21"/>
        </w:rPr>
        <w:t>元</w:t>
      </w:r>
      <w:r>
        <w:rPr>
          <w:rFonts w:hint="eastAsia"/>
          <w:color w:val="535353"/>
          <w:sz w:val="21"/>
          <w:szCs w:val="21"/>
        </w:rPr>
        <w:t>/</w:t>
      </w:r>
      <w:r>
        <w:rPr>
          <w:rFonts w:hint="eastAsia"/>
          <w:color w:val="535353"/>
          <w:sz w:val="21"/>
          <w:szCs w:val="21"/>
        </w:rPr>
        <w:t>件、实用新型专利不超过</w:t>
      </w:r>
      <w:r>
        <w:rPr>
          <w:rFonts w:hint="eastAsia"/>
          <w:color w:val="535353"/>
          <w:sz w:val="21"/>
          <w:szCs w:val="21"/>
        </w:rPr>
        <w:t>2000</w:t>
      </w:r>
      <w:r>
        <w:rPr>
          <w:rFonts w:hint="eastAsia"/>
          <w:color w:val="535353"/>
          <w:sz w:val="21"/>
          <w:szCs w:val="21"/>
        </w:rPr>
        <w:t>元</w:t>
      </w:r>
      <w:r>
        <w:rPr>
          <w:rFonts w:hint="eastAsia"/>
          <w:color w:val="535353"/>
          <w:sz w:val="21"/>
          <w:szCs w:val="21"/>
        </w:rPr>
        <w:t>/</w:t>
      </w:r>
      <w:r>
        <w:rPr>
          <w:rFonts w:hint="eastAsia"/>
          <w:color w:val="535353"/>
          <w:sz w:val="21"/>
          <w:szCs w:val="21"/>
        </w:rPr>
        <w:t>件的标准资助，实际发生额少于上述数值时按实际发生额资助。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（二）申请代理费</w:t>
      </w:r>
      <w:r>
        <w:rPr>
          <w:rFonts w:hint="eastAsia"/>
          <w:color w:val="535353"/>
          <w:sz w:val="21"/>
          <w:szCs w:val="21"/>
        </w:rPr>
        <w:t>资助的单位或个人，应</w:t>
      </w:r>
      <w:proofErr w:type="gramStart"/>
      <w:r>
        <w:rPr>
          <w:rFonts w:hint="eastAsia"/>
          <w:color w:val="535353"/>
          <w:sz w:val="21"/>
          <w:szCs w:val="21"/>
        </w:rPr>
        <w:t>自专利</w:t>
      </w:r>
      <w:proofErr w:type="gramEnd"/>
      <w:r>
        <w:rPr>
          <w:rFonts w:hint="eastAsia"/>
          <w:color w:val="535353"/>
          <w:sz w:val="21"/>
          <w:szCs w:val="21"/>
        </w:rPr>
        <w:t>授权之日起</w:t>
      </w:r>
      <w:r>
        <w:rPr>
          <w:rFonts w:hint="eastAsia"/>
          <w:color w:val="535353"/>
          <w:sz w:val="21"/>
          <w:szCs w:val="21"/>
        </w:rPr>
        <w:t>1</w:t>
      </w:r>
      <w:r>
        <w:rPr>
          <w:rFonts w:hint="eastAsia"/>
          <w:color w:val="535353"/>
          <w:sz w:val="21"/>
          <w:szCs w:val="21"/>
        </w:rPr>
        <w:t>年内提出申请；须提交与代理机构签订的代理合同、代理费发票、年度审计报告或财务报表（个人不用提交），经区科技</w:t>
      </w:r>
      <w:proofErr w:type="gramStart"/>
      <w:r>
        <w:rPr>
          <w:rFonts w:hint="eastAsia"/>
          <w:color w:val="535353"/>
          <w:sz w:val="21"/>
          <w:szCs w:val="21"/>
        </w:rPr>
        <w:t>创新局</w:t>
      </w:r>
      <w:proofErr w:type="gramEnd"/>
      <w:r>
        <w:rPr>
          <w:rFonts w:hint="eastAsia"/>
          <w:color w:val="535353"/>
          <w:sz w:val="21"/>
          <w:szCs w:val="21"/>
        </w:rPr>
        <w:t>审核后，报区财政局审核，区财政局按相关规定安排拨付。</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第四条区科技</w:t>
      </w:r>
      <w:proofErr w:type="gramStart"/>
      <w:r>
        <w:rPr>
          <w:rFonts w:hint="eastAsia"/>
          <w:color w:val="535353"/>
          <w:sz w:val="21"/>
          <w:szCs w:val="21"/>
        </w:rPr>
        <w:t>创新局</w:t>
      </w:r>
      <w:proofErr w:type="gramEnd"/>
      <w:r>
        <w:rPr>
          <w:rFonts w:hint="eastAsia"/>
          <w:color w:val="535353"/>
          <w:sz w:val="21"/>
          <w:szCs w:val="21"/>
        </w:rPr>
        <w:t>对专利资助</w:t>
      </w:r>
      <w:proofErr w:type="gramStart"/>
      <w:r>
        <w:rPr>
          <w:rFonts w:hint="eastAsia"/>
          <w:color w:val="535353"/>
          <w:sz w:val="21"/>
          <w:szCs w:val="21"/>
        </w:rPr>
        <w:t>申请按</w:t>
      </w:r>
      <w:proofErr w:type="gramEnd"/>
      <w:r>
        <w:rPr>
          <w:rFonts w:hint="eastAsia"/>
          <w:color w:val="535353"/>
          <w:sz w:val="21"/>
          <w:szCs w:val="21"/>
        </w:rPr>
        <w:t>全年受理、定期审核办理的原则进行审核办理。区科技</w:t>
      </w:r>
      <w:proofErr w:type="gramStart"/>
      <w:r>
        <w:rPr>
          <w:rFonts w:hint="eastAsia"/>
          <w:color w:val="535353"/>
          <w:sz w:val="21"/>
          <w:szCs w:val="21"/>
        </w:rPr>
        <w:t>创新局</w:t>
      </w:r>
      <w:proofErr w:type="gramEnd"/>
      <w:r>
        <w:rPr>
          <w:rFonts w:hint="eastAsia"/>
          <w:color w:val="535353"/>
          <w:sz w:val="21"/>
          <w:szCs w:val="21"/>
        </w:rPr>
        <w:t>完成专利资助审核后，</w:t>
      </w:r>
      <w:proofErr w:type="gramStart"/>
      <w:r>
        <w:rPr>
          <w:rFonts w:hint="eastAsia"/>
          <w:color w:val="535353"/>
          <w:sz w:val="21"/>
          <w:szCs w:val="21"/>
        </w:rPr>
        <w:t>自拨</w:t>
      </w:r>
      <w:proofErr w:type="gramEnd"/>
      <w:r>
        <w:rPr>
          <w:rFonts w:hint="eastAsia"/>
          <w:color w:val="535353"/>
          <w:sz w:val="21"/>
          <w:szCs w:val="21"/>
        </w:rPr>
        <w:t>款公示文件发布之日起</w:t>
      </w:r>
      <w:r>
        <w:rPr>
          <w:rFonts w:hint="eastAsia"/>
          <w:color w:val="535353"/>
          <w:sz w:val="21"/>
          <w:szCs w:val="21"/>
        </w:rPr>
        <w:t>6</w:t>
      </w:r>
      <w:r>
        <w:rPr>
          <w:rFonts w:hint="eastAsia"/>
          <w:color w:val="535353"/>
          <w:sz w:val="21"/>
          <w:szCs w:val="21"/>
        </w:rPr>
        <w:t>个月内未办理领款手续的申请人将视为自动放弃申请资助款。</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第五条有下列情形之一的，不予受理：</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（一）不符合申请条件</w:t>
      </w:r>
      <w:r>
        <w:rPr>
          <w:rFonts w:hint="eastAsia"/>
          <w:color w:val="535353"/>
          <w:sz w:val="21"/>
          <w:szCs w:val="21"/>
        </w:rPr>
        <w:t>;</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（二）不属于资助范围</w:t>
      </w:r>
      <w:r>
        <w:rPr>
          <w:rFonts w:hint="eastAsia"/>
          <w:color w:val="535353"/>
          <w:sz w:val="21"/>
          <w:szCs w:val="21"/>
        </w:rPr>
        <w:t>;</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（三）提供的材料不齐全</w:t>
      </w:r>
      <w:r>
        <w:rPr>
          <w:rFonts w:hint="eastAsia"/>
          <w:color w:val="535353"/>
          <w:sz w:val="21"/>
          <w:szCs w:val="21"/>
        </w:rPr>
        <w:t>;</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（四）知</w:t>
      </w:r>
      <w:r>
        <w:rPr>
          <w:rFonts w:hint="eastAsia"/>
          <w:color w:val="535353"/>
          <w:sz w:val="21"/>
          <w:szCs w:val="21"/>
        </w:rPr>
        <w:t>识产权项目有争议的</w:t>
      </w:r>
      <w:r>
        <w:rPr>
          <w:rFonts w:hint="eastAsia"/>
          <w:color w:val="535353"/>
          <w:sz w:val="21"/>
          <w:szCs w:val="21"/>
        </w:rPr>
        <w:t>;</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（五）未依法取得专利代理资格的代理机构代理的专利；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（六）未取得专利代理人执业资格的个人代理的专利；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（七）未通过专利代理人申请，且申请人住址与专利申请联系地址不一致的；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（八）申请人近两年内因其与知识产权相关的违法、违规行为而被依法处罚的；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（九）被列入惠州市公共信用信息管理系统</w:t>
      </w:r>
      <w:proofErr w:type="gramStart"/>
      <w:r>
        <w:rPr>
          <w:rFonts w:hint="eastAsia"/>
          <w:color w:val="535353"/>
          <w:sz w:val="21"/>
          <w:szCs w:val="21"/>
        </w:rPr>
        <w:t>不</w:t>
      </w:r>
      <w:proofErr w:type="gramEnd"/>
      <w:r>
        <w:rPr>
          <w:rFonts w:hint="eastAsia"/>
          <w:color w:val="535353"/>
          <w:sz w:val="21"/>
          <w:szCs w:val="21"/>
        </w:rPr>
        <w:t>诚信名单中的企业或个人；</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（十）已获得有关政府或政府部门同类性质的资助，属重复资助的。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第六条申请资助的单位、个人有虚报、冒领、套取、骗取资助行为的，一经查实，三年内不受理其资助申请，并追回已资助相关款项，同时将申请人列入惠州市公共信用信息管理系统</w:t>
      </w:r>
      <w:proofErr w:type="gramStart"/>
      <w:r>
        <w:rPr>
          <w:rFonts w:hint="eastAsia"/>
          <w:color w:val="535353"/>
          <w:sz w:val="21"/>
          <w:szCs w:val="21"/>
        </w:rPr>
        <w:t>不</w:t>
      </w:r>
      <w:proofErr w:type="gramEnd"/>
      <w:r>
        <w:rPr>
          <w:rFonts w:hint="eastAsia"/>
          <w:color w:val="535353"/>
          <w:sz w:val="21"/>
          <w:szCs w:val="21"/>
        </w:rPr>
        <w:t>诚信黑名单；申请资助的代理机构违反相关管理规范或规定的，取消其当年度申请资助的资格。</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第二章专利推进活动资助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第七条专利培训宣传活动资助。社会组织、服务机构、辖区内注册的企事业单位，在每年“</w:t>
      </w:r>
      <w:r>
        <w:rPr>
          <w:rFonts w:hint="eastAsia"/>
          <w:color w:val="535353"/>
          <w:sz w:val="21"/>
          <w:szCs w:val="21"/>
        </w:rPr>
        <w:t>4.26</w:t>
      </w:r>
      <w:r>
        <w:rPr>
          <w:rFonts w:hint="eastAsia"/>
          <w:color w:val="535353"/>
          <w:sz w:val="21"/>
          <w:szCs w:val="21"/>
        </w:rPr>
        <w:t>”世界知识产权日、中国专利周、“</w:t>
      </w:r>
      <w:r>
        <w:rPr>
          <w:rFonts w:hint="eastAsia"/>
          <w:color w:val="535353"/>
          <w:sz w:val="21"/>
          <w:szCs w:val="21"/>
        </w:rPr>
        <w:t>12.4</w:t>
      </w:r>
      <w:r>
        <w:rPr>
          <w:rFonts w:hint="eastAsia"/>
          <w:color w:val="535353"/>
          <w:sz w:val="21"/>
          <w:szCs w:val="21"/>
        </w:rPr>
        <w:t>”法制宣传日等组织或协助区科技</w:t>
      </w:r>
      <w:proofErr w:type="gramStart"/>
      <w:r>
        <w:rPr>
          <w:rFonts w:hint="eastAsia"/>
          <w:color w:val="535353"/>
          <w:sz w:val="21"/>
          <w:szCs w:val="21"/>
        </w:rPr>
        <w:t>创新局</w:t>
      </w:r>
      <w:proofErr w:type="gramEnd"/>
      <w:r>
        <w:rPr>
          <w:rFonts w:hint="eastAsia"/>
          <w:color w:val="535353"/>
          <w:sz w:val="21"/>
          <w:szCs w:val="21"/>
        </w:rPr>
        <w:t>开展专利政策法规的宣传培训活动，按实际发生额进行资助，每个项目资助额不超过</w:t>
      </w:r>
      <w:r>
        <w:rPr>
          <w:rFonts w:hint="eastAsia"/>
          <w:color w:val="535353"/>
          <w:sz w:val="21"/>
          <w:szCs w:val="21"/>
        </w:rPr>
        <w:t>5</w:t>
      </w:r>
      <w:r>
        <w:rPr>
          <w:rFonts w:hint="eastAsia"/>
          <w:color w:val="535353"/>
          <w:sz w:val="21"/>
          <w:szCs w:val="21"/>
        </w:rPr>
        <w:t>万元。</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第八条专项激励活动资助。区科技</w:t>
      </w:r>
      <w:proofErr w:type="gramStart"/>
      <w:r>
        <w:rPr>
          <w:rFonts w:hint="eastAsia"/>
          <w:color w:val="535353"/>
          <w:sz w:val="21"/>
          <w:szCs w:val="21"/>
        </w:rPr>
        <w:t>创新局</w:t>
      </w:r>
      <w:proofErr w:type="gramEnd"/>
      <w:r>
        <w:rPr>
          <w:rFonts w:hint="eastAsia"/>
          <w:color w:val="535353"/>
          <w:sz w:val="21"/>
          <w:szCs w:val="21"/>
        </w:rPr>
        <w:t>根据每年高新区知识产权工作任务，组织开展重点行业、企业的重点产品专利挖掘，知识产权战略与高新技术企业培育、认定等专利布局，专利“灭零倍增”，“知识产权优势企业培育计划”，“所企知识产权服务对接”等专项激励活动，对专项激励活动中申请的专利按类型分别给予资助，其中给予发明专利不超过</w:t>
      </w:r>
      <w:r>
        <w:rPr>
          <w:rFonts w:hint="eastAsia"/>
          <w:color w:val="535353"/>
          <w:sz w:val="21"/>
          <w:szCs w:val="21"/>
        </w:rPr>
        <w:t>4000</w:t>
      </w:r>
      <w:r>
        <w:rPr>
          <w:rFonts w:hint="eastAsia"/>
          <w:color w:val="535353"/>
          <w:sz w:val="21"/>
          <w:szCs w:val="21"/>
        </w:rPr>
        <w:t>元</w:t>
      </w:r>
      <w:r>
        <w:rPr>
          <w:rFonts w:hint="eastAsia"/>
          <w:color w:val="535353"/>
          <w:sz w:val="21"/>
          <w:szCs w:val="21"/>
        </w:rPr>
        <w:t>/</w:t>
      </w:r>
      <w:r>
        <w:rPr>
          <w:rFonts w:hint="eastAsia"/>
          <w:color w:val="535353"/>
          <w:sz w:val="21"/>
          <w:szCs w:val="21"/>
        </w:rPr>
        <w:t>件、实用新型专利不超过</w:t>
      </w:r>
      <w:r>
        <w:rPr>
          <w:rFonts w:hint="eastAsia"/>
          <w:color w:val="535353"/>
          <w:sz w:val="21"/>
          <w:szCs w:val="21"/>
        </w:rPr>
        <w:t>1000</w:t>
      </w:r>
      <w:r>
        <w:rPr>
          <w:rFonts w:hint="eastAsia"/>
          <w:color w:val="535353"/>
          <w:sz w:val="21"/>
          <w:szCs w:val="21"/>
        </w:rPr>
        <w:t>元</w:t>
      </w:r>
      <w:r>
        <w:rPr>
          <w:rFonts w:hint="eastAsia"/>
          <w:color w:val="535353"/>
          <w:sz w:val="21"/>
          <w:szCs w:val="21"/>
        </w:rPr>
        <w:t>/</w:t>
      </w:r>
      <w:r>
        <w:rPr>
          <w:rFonts w:hint="eastAsia"/>
          <w:color w:val="535353"/>
          <w:sz w:val="21"/>
          <w:szCs w:val="21"/>
        </w:rPr>
        <w:t>件、外观设计专利不超过</w:t>
      </w:r>
      <w:r>
        <w:rPr>
          <w:rFonts w:hint="eastAsia"/>
          <w:color w:val="535353"/>
          <w:sz w:val="21"/>
          <w:szCs w:val="21"/>
        </w:rPr>
        <w:t>500</w:t>
      </w:r>
      <w:r>
        <w:rPr>
          <w:rFonts w:hint="eastAsia"/>
          <w:color w:val="535353"/>
          <w:sz w:val="21"/>
          <w:szCs w:val="21"/>
        </w:rPr>
        <w:t>元</w:t>
      </w:r>
      <w:r>
        <w:rPr>
          <w:rFonts w:hint="eastAsia"/>
          <w:color w:val="535353"/>
          <w:sz w:val="21"/>
          <w:szCs w:val="21"/>
        </w:rPr>
        <w:t>/</w:t>
      </w:r>
      <w:r>
        <w:rPr>
          <w:rFonts w:hint="eastAsia"/>
          <w:color w:val="535353"/>
          <w:sz w:val="21"/>
          <w:szCs w:val="21"/>
        </w:rPr>
        <w:t>件的资助。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第九条专利</w:t>
      </w:r>
      <w:proofErr w:type="gramStart"/>
      <w:r>
        <w:rPr>
          <w:rFonts w:hint="eastAsia"/>
          <w:color w:val="535353"/>
          <w:sz w:val="21"/>
          <w:szCs w:val="21"/>
        </w:rPr>
        <w:t>奖配套</w:t>
      </w:r>
      <w:proofErr w:type="gramEnd"/>
      <w:r>
        <w:rPr>
          <w:rFonts w:hint="eastAsia"/>
          <w:color w:val="535353"/>
          <w:sz w:val="21"/>
          <w:szCs w:val="21"/>
        </w:rPr>
        <w:t>奖励。</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（一）获中国专利金奖的企业，每项一次性配套奖励</w:t>
      </w:r>
      <w:r>
        <w:rPr>
          <w:rFonts w:hint="eastAsia"/>
          <w:color w:val="535353"/>
          <w:sz w:val="21"/>
          <w:szCs w:val="21"/>
        </w:rPr>
        <w:t>20</w:t>
      </w:r>
      <w:r>
        <w:rPr>
          <w:rFonts w:hint="eastAsia"/>
          <w:color w:val="535353"/>
          <w:sz w:val="21"/>
          <w:szCs w:val="21"/>
        </w:rPr>
        <w:t>万元；</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（二）获中国专利优</w:t>
      </w:r>
      <w:r>
        <w:rPr>
          <w:rFonts w:hint="eastAsia"/>
          <w:color w:val="535353"/>
          <w:sz w:val="21"/>
          <w:szCs w:val="21"/>
        </w:rPr>
        <w:t>秀奖的企业，每项一次性配套奖励</w:t>
      </w:r>
      <w:r>
        <w:rPr>
          <w:rFonts w:hint="eastAsia"/>
          <w:color w:val="535353"/>
          <w:sz w:val="21"/>
          <w:szCs w:val="21"/>
        </w:rPr>
        <w:t>10</w:t>
      </w:r>
      <w:r>
        <w:rPr>
          <w:rFonts w:hint="eastAsia"/>
          <w:color w:val="535353"/>
          <w:sz w:val="21"/>
          <w:szCs w:val="21"/>
        </w:rPr>
        <w:t>万元；</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（三）获广东省专利金奖的企业，每项一次性配套奖励</w:t>
      </w:r>
      <w:r>
        <w:rPr>
          <w:rFonts w:hint="eastAsia"/>
          <w:color w:val="535353"/>
          <w:sz w:val="21"/>
          <w:szCs w:val="21"/>
        </w:rPr>
        <w:t>5</w:t>
      </w:r>
      <w:r>
        <w:rPr>
          <w:rFonts w:hint="eastAsia"/>
          <w:color w:val="535353"/>
          <w:sz w:val="21"/>
          <w:szCs w:val="21"/>
        </w:rPr>
        <w:t>万元；</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（四）获广东省专利优秀奖的企业，每项一次性配套奖励</w:t>
      </w:r>
      <w:r>
        <w:rPr>
          <w:rFonts w:hint="eastAsia"/>
          <w:color w:val="535353"/>
          <w:sz w:val="21"/>
          <w:szCs w:val="21"/>
        </w:rPr>
        <w:t>2</w:t>
      </w:r>
      <w:r>
        <w:rPr>
          <w:rFonts w:hint="eastAsia"/>
          <w:color w:val="535353"/>
          <w:sz w:val="21"/>
          <w:szCs w:val="21"/>
        </w:rPr>
        <w:t>万元。</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申请配套奖励的辖区内注册企业应在获奖文件下达之日起一年内提出，配套奖励资金原则上应给予专利创造、运用和保护等有功人员。对专利奖奖金的分配原则如下：给获奖单位的比例不应超过</w:t>
      </w:r>
      <w:r>
        <w:rPr>
          <w:rFonts w:hint="eastAsia"/>
          <w:color w:val="535353"/>
          <w:sz w:val="21"/>
          <w:szCs w:val="21"/>
        </w:rPr>
        <w:t>50%</w:t>
      </w:r>
      <w:r>
        <w:rPr>
          <w:rFonts w:hint="eastAsia"/>
          <w:color w:val="535353"/>
          <w:sz w:val="21"/>
          <w:szCs w:val="21"/>
        </w:rPr>
        <w:t>，给获奖专利发明人的比例不应低于</w:t>
      </w:r>
      <w:r>
        <w:rPr>
          <w:rFonts w:hint="eastAsia"/>
          <w:color w:val="535353"/>
          <w:sz w:val="21"/>
          <w:szCs w:val="21"/>
        </w:rPr>
        <w:t>30%</w:t>
      </w:r>
      <w:r>
        <w:rPr>
          <w:rFonts w:hint="eastAsia"/>
          <w:color w:val="535353"/>
          <w:sz w:val="21"/>
          <w:szCs w:val="21"/>
        </w:rPr>
        <w:t>，给获奖单位专利管理机构管理人员的比例不应低于</w:t>
      </w:r>
      <w:r>
        <w:rPr>
          <w:rFonts w:hint="eastAsia"/>
          <w:color w:val="535353"/>
          <w:sz w:val="21"/>
          <w:szCs w:val="21"/>
        </w:rPr>
        <w:t>20%</w:t>
      </w:r>
      <w:r>
        <w:rPr>
          <w:rFonts w:hint="eastAsia"/>
          <w:color w:val="535353"/>
          <w:sz w:val="21"/>
          <w:szCs w:val="21"/>
        </w:rPr>
        <w:t>。获得专利配套奖励的企业应当在获得配套奖励之后一个月内向区科技</w:t>
      </w:r>
      <w:proofErr w:type="gramStart"/>
      <w:r>
        <w:rPr>
          <w:rFonts w:hint="eastAsia"/>
          <w:color w:val="535353"/>
          <w:sz w:val="21"/>
          <w:szCs w:val="21"/>
        </w:rPr>
        <w:t>创新局</w:t>
      </w:r>
      <w:proofErr w:type="gramEnd"/>
      <w:r>
        <w:rPr>
          <w:rFonts w:hint="eastAsia"/>
          <w:color w:val="535353"/>
          <w:sz w:val="21"/>
          <w:szCs w:val="21"/>
        </w:rPr>
        <w:t>报备配套奖励的分配</w:t>
      </w:r>
      <w:r>
        <w:rPr>
          <w:rFonts w:hint="eastAsia"/>
          <w:color w:val="535353"/>
          <w:sz w:val="21"/>
          <w:szCs w:val="21"/>
        </w:rPr>
        <w:t>方案。</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第十条知识产权示范优势企业培育。对区内新列入的国家、省知识产权示范优势企业，最高给予</w:t>
      </w:r>
      <w:r>
        <w:rPr>
          <w:rFonts w:hint="eastAsia"/>
          <w:color w:val="535353"/>
          <w:sz w:val="21"/>
          <w:szCs w:val="21"/>
        </w:rPr>
        <w:t>2</w:t>
      </w:r>
      <w:r>
        <w:rPr>
          <w:rFonts w:hint="eastAsia"/>
          <w:color w:val="535353"/>
          <w:sz w:val="21"/>
          <w:szCs w:val="21"/>
        </w:rPr>
        <w:t>万元配套奖励。</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第十一条推进企事业单位知识产权管理建设。对正在实施《企业知识产权管理规范》的企业，在申请各类知识产权项目时，优先给予支持；对通过《企业知识产权管理规范》（</w:t>
      </w:r>
      <w:r>
        <w:rPr>
          <w:rFonts w:hint="eastAsia"/>
          <w:color w:val="535353"/>
          <w:sz w:val="21"/>
          <w:szCs w:val="21"/>
        </w:rPr>
        <w:t>GB/T29490-2013</w:t>
      </w:r>
      <w:r>
        <w:rPr>
          <w:rFonts w:hint="eastAsia"/>
          <w:color w:val="535353"/>
          <w:sz w:val="21"/>
          <w:szCs w:val="21"/>
        </w:rPr>
        <w:t>）标准认证的企业，最高补助</w:t>
      </w:r>
      <w:r>
        <w:rPr>
          <w:rFonts w:hint="eastAsia"/>
          <w:color w:val="535353"/>
          <w:sz w:val="21"/>
          <w:szCs w:val="21"/>
        </w:rPr>
        <w:t>5</w:t>
      </w:r>
      <w:r>
        <w:rPr>
          <w:rFonts w:hint="eastAsia"/>
          <w:color w:val="535353"/>
          <w:sz w:val="21"/>
          <w:szCs w:val="21"/>
        </w:rPr>
        <w:t>万元。</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第十二条专利服务机构扶持。在惠州市内依法注册设立，取得专利代理资质的专利服务机构；或在广东省内依法注册设立，惠州分支机构取得专利代理资质，且执业</w:t>
      </w:r>
      <w:r>
        <w:rPr>
          <w:rFonts w:hint="eastAsia"/>
          <w:color w:val="535353"/>
          <w:sz w:val="21"/>
          <w:szCs w:val="21"/>
        </w:rPr>
        <w:t>1</w:t>
      </w:r>
      <w:r>
        <w:rPr>
          <w:rFonts w:hint="eastAsia"/>
          <w:color w:val="535353"/>
          <w:sz w:val="21"/>
          <w:szCs w:val="21"/>
        </w:rPr>
        <w:t>年以上并为区内企业服务的专利服务机构，</w:t>
      </w:r>
      <w:r>
        <w:rPr>
          <w:rFonts w:hint="eastAsia"/>
          <w:color w:val="535353"/>
          <w:sz w:val="21"/>
          <w:szCs w:val="21"/>
        </w:rPr>
        <w:t>可以享受以下扶持：</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（一）对辅导区内企业通过《企业知识产权管理规范》标准认证的，每通过一家企业给予服务机构</w:t>
      </w:r>
      <w:r>
        <w:rPr>
          <w:rFonts w:hint="eastAsia"/>
          <w:color w:val="535353"/>
          <w:sz w:val="21"/>
          <w:szCs w:val="21"/>
        </w:rPr>
        <w:t>5000</w:t>
      </w:r>
      <w:r>
        <w:rPr>
          <w:rFonts w:hint="eastAsia"/>
          <w:color w:val="535353"/>
          <w:sz w:val="21"/>
          <w:szCs w:val="21"/>
        </w:rPr>
        <w:t>元的补助；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（二）对辅导区内企业获得国家专利金奖、国家专利优秀奖、广东省专利金奖的专利代理机构给予配套扶持，扶持最高额度</w:t>
      </w:r>
      <w:r>
        <w:rPr>
          <w:rFonts w:hint="eastAsia"/>
          <w:color w:val="535353"/>
          <w:sz w:val="21"/>
          <w:szCs w:val="21"/>
        </w:rPr>
        <w:t>1</w:t>
      </w:r>
      <w:r>
        <w:rPr>
          <w:rFonts w:hint="eastAsia"/>
          <w:color w:val="535353"/>
          <w:sz w:val="21"/>
          <w:szCs w:val="21"/>
        </w:rPr>
        <w:t>万元，每个机构只能享受一个奖项，不可叠加；</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（三）经区科技</w:t>
      </w:r>
      <w:proofErr w:type="gramStart"/>
      <w:r>
        <w:rPr>
          <w:rFonts w:hint="eastAsia"/>
          <w:color w:val="535353"/>
          <w:sz w:val="21"/>
          <w:szCs w:val="21"/>
        </w:rPr>
        <w:t>创新局</w:t>
      </w:r>
      <w:proofErr w:type="gramEnd"/>
      <w:r>
        <w:rPr>
          <w:rFonts w:hint="eastAsia"/>
          <w:color w:val="535353"/>
          <w:sz w:val="21"/>
          <w:szCs w:val="21"/>
        </w:rPr>
        <w:t>考核审定的优秀代理机构，最高给予</w:t>
      </w:r>
      <w:r>
        <w:rPr>
          <w:rFonts w:hint="eastAsia"/>
          <w:color w:val="535353"/>
          <w:sz w:val="21"/>
          <w:szCs w:val="21"/>
        </w:rPr>
        <w:t>20</w:t>
      </w:r>
      <w:r>
        <w:rPr>
          <w:rFonts w:hint="eastAsia"/>
          <w:color w:val="535353"/>
          <w:sz w:val="21"/>
          <w:szCs w:val="21"/>
        </w:rPr>
        <w:t>万元的扶持。</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第十三条专利执法。</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（一）加强专利执法，保护权利人合法权益。充实专利执法队伍，加强部门间的配合以及区、园区及镇（街道）间的联动，协助市级以上专利执法部门完成执法工</w:t>
      </w:r>
      <w:r>
        <w:rPr>
          <w:rFonts w:hint="eastAsia"/>
          <w:color w:val="535353"/>
          <w:sz w:val="21"/>
          <w:szCs w:val="21"/>
        </w:rPr>
        <w:t>作。及时查处侵犯专利权的违法行为，快速处理企业专利权纠纷，依法保护企业专利权益，维护公平、公正的市场竞争秩序，并依法公开侵犯专利权和假冒专利行为行政处罚案件信息。</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（二）加强执法人员培训，提升执法人员素质，做到规范文明公正执法。加强与周边城市的专利权保护协作，及时为权利人的维</w:t>
      </w:r>
      <w:proofErr w:type="gramStart"/>
      <w:r>
        <w:rPr>
          <w:rFonts w:hint="eastAsia"/>
          <w:color w:val="535353"/>
          <w:sz w:val="21"/>
          <w:szCs w:val="21"/>
        </w:rPr>
        <w:t>权活动</w:t>
      </w:r>
      <w:proofErr w:type="gramEnd"/>
      <w:r>
        <w:rPr>
          <w:rFonts w:hint="eastAsia"/>
          <w:color w:val="535353"/>
          <w:sz w:val="21"/>
          <w:szCs w:val="21"/>
        </w:rPr>
        <w:t>提供服务。</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第十四条积极探索建立行业知识产权保护机制，鼓励重点企业、重点产业建立知识产权协会，维持良好的社会氛围，为技术创新提供优质的发展环境。</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第三章专利维权援助</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第十五条维权援助对象。在仲恺高新区内注册成立，具有独立法人资格，</w:t>
      </w:r>
      <w:r>
        <w:rPr>
          <w:rFonts w:hint="eastAsia"/>
          <w:color w:val="535353"/>
          <w:sz w:val="21"/>
          <w:szCs w:val="21"/>
        </w:rPr>
        <w:t>有以下情况之一的企业：</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（一）经济状况困难，严重影响专利权保护、抗辩能力，已经或者将产生严重后果的；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（二）所涉专利权纠纷对本企业、本行业或者在所在地区具有重大影响或者典型意义的；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（三）案件事件具有涉外因素或者有其他重大社会影响的。</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第十六条资助条件。</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（一）专利侵权纠纷双方至少有一方是在区内注册成立，具有独立法人资格的企业；</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（二）案件尚未进入法院诉讼程序；</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（三）当事企业已向广东省知识产权维权援助中心惠州分中心提出援助申请，并提供相关材料。</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第十七条对经广东省知识产权维权援助中心惠州分中心审批通过的维权援助案件，给予不超过</w:t>
      </w:r>
      <w:r>
        <w:rPr>
          <w:rFonts w:hint="eastAsia"/>
          <w:color w:val="535353"/>
          <w:sz w:val="21"/>
          <w:szCs w:val="21"/>
        </w:rPr>
        <w:t>5000</w:t>
      </w:r>
      <w:r>
        <w:rPr>
          <w:rFonts w:hint="eastAsia"/>
          <w:color w:val="535353"/>
          <w:sz w:val="21"/>
          <w:szCs w:val="21"/>
        </w:rPr>
        <w:t>元</w:t>
      </w:r>
      <w:r>
        <w:rPr>
          <w:rFonts w:hint="eastAsia"/>
          <w:color w:val="535353"/>
          <w:sz w:val="21"/>
          <w:szCs w:val="21"/>
        </w:rPr>
        <w:t>/</w:t>
      </w:r>
      <w:r>
        <w:rPr>
          <w:rFonts w:hint="eastAsia"/>
          <w:color w:val="535353"/>
          <w:sz w:val="21"/>
          <w:szCs w:val="21"/>
        </w:rPr>
        <w:t>件的补助。对我区经济、社会影响大的涉外专利侵权纠纷，最高给予</w:t>
      </w:r>
      <w:r>
        <w:rPr>
          <w:rFonts w:hint="eastAsia"/>
          <w:color w:val="535353"/>
          <w:sz w:val="21"/>
          <w:szCs w:val="21"/>
        </w:rPr>
        <w:t>10</w:t>
      </w:r>
      <w:r>
        <w:rPr>
          <w:rFonts w:hint="eastAsia"/>
          <w:color w:val="535353"/>
          <w:sz w:val="21"/>
          <w:szCs w:val="21"/>
        </w:rPr>
        <w:t>万元的资金补助或价值</w:t>
      </w:r>
      <w:r>
        <w:rPr>
          <w:rFonts w:hint="eastAsia"/>
          <w:color w:val="535353"/>
          <w:sz w:val="21"/>
          <w:szCs w:val="21"/>
        </w:rPr>
        <w:t>10</w:t>
      </w:r>
      <w:r>
        <w:rPr>
          <w:rFonts w:hint="eastAsia"/>
          <w:color w:val="535353"/>
          <w:sz w:val="21"/>
          <w:szCs w:val="21"/>
        </w:rPr>
        <w:t>万元的维权援助服务。</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第四章专利服务体系培育和扶持</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第十八条专利研究项目扶持。以改善</w:t>
      </w:r>
      <w:proofErr w:type="gramStart"/>
      <w:r>
        <w:rPr>
          <w:rFonts w:hint="eastAsia"/>
          <w:color w:val="535353"/>
          <w:sz w:val="21"/>
          <w:szCs w:val="21"/>
        </w:rPr>
        <w:t>区专利</w:t>
      </w:r>
      <w:proofErr w:type="gramEnd"/>
      <w:r>
        <w:rPr>
          <w:rFonts w:hint="eastAsia"/>
          <w:color w:val="535353"/>
          <w:sz w:val="21"/>
          <w:szCs w:val="21"/>
        </w:rPr>
        <w:t>发展政策环境和指导行业、企业专利健康发展为目标，主要包括专利宏观管理政策研究与制定、行业或产业专利战略规划的研究与制定、重点领域的专利导航分析、专利权质押融资、作价入股、专利许可、专利转让、专利导航产业（企业）发展等，通过项目申报等形式给予</w:t>
      </w:r>
      <w:r>
        <w:rPr>
          <w:rFonts w:hint="eastAsia"/>
          <w:color w:val="535353"/>
          <w:sz w:val="21"/>
          <w:szCs w:val="21"/>
        </w:rPr>
        <w:t>资金扶持。</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第十九条宣传培训服务。以提高全社会的知识产权意识和水平为目的，主要包括专利法律法规及相关知识的宣传普及、咨询和研讨交流等宣传活动，以及举办专利讲座、报告、培训和论坛等培训活动。</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第二十条专利资源共享服务。以优化企业的专利知识学习运用环境为目标，通过政府购买专利数据库、专利检索分析工具、专利数据包、专利文献等专利资源，向企业开放。</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第二十一条重点项目扶持。根据国家、省、市的统一部署以及我区专利工作安排，开展专利挖掘、专利布局、专利战略实施等需要重点推进的专项工作。</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第二十二条知识产权服务机构和专业</w:t>
      </w:r>
      <w:r>
        <w:rPr>
          <w:rFonts w:hint="eastAsia"/>
          <w:color w:val="535353"/>
          <w:sz w:val="21"/>
          <w:szCs w:val="21"/>
        </w:rPr>
        <w:t>人才培育。不断完善我区知识产权与技术服务中心和广东省知识产权维权援助中心惠州分中心的建设工作，引导各类知识产权服务机构入驻高新区或为高新区企事业单位提供专业服务。做好知识产权人才落地工作，加强知识产权服务业职业培训，鼓励优秀人才进入知识产权服务行业。</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第五</w:t>
      </w:r>
      <w:proofErr w:type="gramStart"/>
      <w:r>
        <w:rPr>
          <w:rFonts w:hint="eastAsia"/>
          <w:color w:val="535353"/>
          <w:sz w:val="21"/>
          <w:szCs w:val="21"/>
        </w:rPr>
        <w:t>章推进</w:t>
      </w:r>
      <w:proofErr w:type="gramEnd"/>
      <w:r>
        <w:rPr>
          <w:rFonts w:hint="eastAsia"/>
          <w:color w:val="535353"/>
          <w:sz w:val="21"/>
          <w:szCs w:val="21"/>
        </w:rPr>
        <w:t>专利工作的有关保障</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第二十三条加强组织领导。进一步完善知识产权工作机制，定期召开知识产权联席会议，研究和部署知识产权有关工作，促进知识产权工作上新台阶。</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第二十四条完善知识产权管理机构。实行区、园区及镇（街道）联动机制，加强对知识产权工作的统筹和协调</w:t>
      </w:r>
      <w:r>
        <w:rPr>
          <w:rFonts w:hint="eastAsia"/>
          <w:color w:val="535353"/>
          <w:sz w:val="21"/>
          <w:szCs w:val="21"/>
        </w:rPr>
        <w:t>；按照国家知识产权示范园区建设和知识产权强区建设标准，健全我区专利行政管理机构，加强人才队伍建设。</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五条加强资金保障及管理。为保障国家知识产权示范园区建设、国家知识产权质押融资试点园区工作、知识产权强区建设等，区财政每年安排知识产权专项经费预算，用于专利的创造、运用、保护、管理和服务，并建立与专利事业发展目标相匹配的专项资金增长机制。</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第二十六条推行专利工作考核通报机制。依据《惠州市县（区）党政正职落实科学发展观实绩考核评价办法》、《科学发展幸福惠州评价指标体系》、《惠州市〈珠三角规划纲要〉九年大跨越</w:t>
      </w:r>
      <w:r>
        <w:rPr>
          <w:rFonts w:hint="eastAsia"/>
          <w:color w:val="535353"/>
          <w:sz w:val="21"/>
          <w:szCs w:val="21"/>
        </w:rPr>
        <w:t>主要指标目标考核》及我区相关考核办法等党政领导干部目标责任考核体系，对各责任单位完成指标情况进行考核和通报。</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第二十七条强化政策导向。整合科技管理资源，强化科技投入的专利导向，将专利制度建设以及专利申请、授权的数量、质量和增幅作为各</w:t>
      </w:r>
      <w:proofErr w:type="gramStart"/>
      <w:r>
        <w:rPr>
          <w:rFonts w:hint="eastAsia"/>
          <w:color w:val="535353"/>
          <w:sz w:val="21"/>
          <w:szCs w:val="21"/>
        </w:rPr>
        <w:t>类创新</w:t>
      </w:r>
      <w:proofErr w:type="gramEnd"/>
      <w:r>
        <w:rPr>
          <w:rFonts w:hint="eastAsia"/>
          <w:color w:val="535353"/>
          <w:sz w:val="21"/>
          <w:szCs w:val="21"/>
        </w:rPr>
        <w:t>平台、新型研发机构、孵化器、科技项目、科技特派员等认定与评价的必要条件和考核指标。</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第六章附则</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第二十八条对于违反财经纪律，虚报、冒领、截留、挪用、挤占专项资金的行为，一经发现，由区科技创新局、区财政局视情节轻重采取通报、撤销项目、追缴项目经费、</w:t>
      </w:r>
      <w:r>
        <w:rPr>
          <w:rFonts w:hint="eastAsia"/>
          <w:color w:val="535353"/>
          <w:sz w:val="21"/>
          <w:szCs w:val="21"/>
        </w:rPr>
        <w:t>3</w:t>
      </w:r>
      <w:r>
        <w:rPr>
          <w:rFonts w:hint="eastAsia"/>
          <w:color w:val="535353"/>
          <w:sz w:val="21"/>
          <w:szCs w:val="21"/>
        </w:rPr>
        <w:t>年内取消本办法涉及的相关资</w:t>
      </w:r>
      <w:r>
        <w:rPr>
          <w:rFonts w:hint="eastAsia"/>
          <w:color w:val="535353"/>
          <w:sz w:val="21"/>
          <w:szCs w:val="21"/>
        </w:rPr>
        <w:t>助或奖励申请资格和将相关责任人列入惠州市公共信用信息管理系统</w:t>
      </w:r>
      <w:proofErr w:type="gramStart"/>
      <w:r>
        <w:rPr>
          <w:rFonts w:hint="eastAsia"/>
          <w:color w:val="535353"/>
          <w:sz w:val="21"/>
          <w:szCs w:val="21"/>
        </w:rPr>
        <w:t>不</w:t>
      </w:r>
      <w:proofErr w:type="gramEnd"/>
      <w:r>
        <w:rPr>
          <w:rFonts w:hint="eastAsia"/>
          <w:color w:val="535353"/>
          <w:sz w:val="21"/>
          <w:szCs w:val="21"/>
        </w:rPr>
        <w:t>诚信黑名单的处理，并按照《财政违法行为处罚处分条例》（国务院令第</w:t>
      </w:r>
      <w:r>
        <w:rPr>
          <w:rFonts w:hint="eastAsia"/>
          <w:color w:val="535353"/>
          <w:sz w:val="21"/>
          <w:szCs w:val="21"/>
        </w:rPr>
        <w:t>427</w:t>
      </w:r>
      <w:r>
        <w:rPr>
          <w:rFonts w:hint="eastAsia"/>
          <w:color w:val="535353"/>
          <w:sz w:val="21"/>
          <w:szCs w:val="21"/>
        </w:rPr>
        <w:t>号）的规定处理；构成犯罪的，依法移交司法机关处理。</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第二十九条有关行政主管部门及其工作人员在专项资金管理和监督工作中滥用职权、玩忽职守、徇私舞弊的，依照《财政违法行为处罚处分条例》的规定给予行政处分；构成犯罪的，依法移交司法机关处理。</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第三十条本办法所称“不超过”、“不低于”、“最高”均包含本数。</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第三十一条本办法由区科技</w:t>
      </w:r>
      <w:proofErr w:type="gramStart"/>
      <w:r>
        <w:rPr>
          <w:rFonts w:hint="eastAsia"/>
          <w:color w:val="535353"/>
          <w:sz w:val="21"/>
          <w:szCs w:val="21"/>
        </w:rPr>
        <w:t>创新局</w:t>
      </w:r>
      <w:proofErr w:type="gramEnd"/>
      <w:r>
        <w:rPr>
          <w:rFonts w:hint="eastAsia"/>
          <w:color w:val="535353"/>
          <w:sz w:val="21"/>
          <w:szCs w:val="21"/>
        </w:rPr>
        <w:t>负责解释。</w:t>
      </w:r>
    </w:p>
    <w:p w:rsidR="00000000" w:rsidRDefault="00A94290">
      <w:pPr>
        <w:pStyle w:val="a5"/>
        <w:shd w:val="clear" w:color="auto" w:fill="FFFFFF"/>
        <w:spacing w:after="0" w:afterAutospacing="0" w:line="480" w:lineRule="auto"/>
        <w:ind w:firstLine="480"/>
        <w:divId w:val="1716930887"/>
        <w:rPr>
          <w:rFonts w:hint="eastAsia"/>
          <w:color w:val="535353"/>
          <w:sz w:val="21"/>
          <w:szCs w:val="21"/>
        </w:rPr>
      </w:pPr>
      <w:r>
        <w:rPr>
          <w:rFonts w:hint="eastAsia"/>
          <w:color w:val="535353"/>
          <w:sz w:val="21"/>
          <w:szCs w:val="21"/>
        </w:rPr>
        <w:t>第三十二条本办法自印发之日起实施，有效</w:t>
      </w:r>
      <w:r>
        <w:rPr>
          <w:rFonts w:hint="eastAsia"/>
          <w:color w:val="535353"/>
          <w:sz w:val="21"/>
          <w:szCs w:val="21"/>
        </w:rPr>
        <w:t>期</w:t>
      </w:r>
      <w:r>
        <w:rPr>
          <w:rFonts w:hint="eastAsia"/>
          <w:color w:val="535353"/>
          <w:sz w:val="21"/>
          <w:szCs w:val="21"/>
        </w:rPr>
        <w:t>4</w:t>
      </w:r>
      <w:r>
        <w:rPr>
          <w:rFonts w:hint="eastAsia"/>
          <w:color w:val="535353"/>
          <w:sz w:val="21"/>
          <w:szCs w:val="21"/>
        </w:rPr>
        <w:t>年。《仲恺高新区专利申请费用资助及专利奖励管理办法》（</w:t>
      </w:r>
      <w:proofErr w:type="gramStart"/>
      <w:r>
        <w:rPr>
          <w:rFonts w:hint="eastAsia"/>
          <w:color w:val="535353"/>
          <w:sz w:val="21"/>
          <w:szCs w:val="21"/>
        </w:rPr>
        <w:t>惠仲委</w:t>
      </w:r>
      <w:proofErr w:type="gramEnd"/>
      <w:r>
        <w:rPr>
          <w:rFonts w:hint="eastAsia"/>
          <w:color w:val="535353"/>
          <w:sz w:val="21"/>
          <w:szCs w:val="21"/>
        </w:rPr>
        <w:t>〔</w:t>
      </w:r>
      <w:r>
        <w:rPr>
          <w:rFonts w:hint="eastAsia"/>
          <w:color w:val="535353"/>
          <w:sz w:val="21"/>
          <w:szCs w:val="21"/>
        </w:rPr>
        <w:t>2013</w:t>
      </w:r>
      <w:r>
        <w:rPr>
          <w:rFonts w:hint="eastAsia"/>
          <w:color w:val="535353"/>
          <w:sz w:val="21"/>
          <w:szCs w:val="21"/>
        </w:rPr>
        <w:t>〕</w:t>
      </w:r>
      <w:r>
        <w:rPr>
          <w:rFonts w:hint="eastAsia"/>
          <w:color w:val="535353"/>
          <w:sz w:val="21"/>
          <w:szCs w:val="21"/>
        </w:rPr>
        <w:t>65</w:t>
      </w:r>
      <w:r>
        <w:rPr>
          <w:rFonts w:hint="eastAsia"/>
          <w:color w:val="535353"/>
          <w:sz w:val="21"/>
          <w:szCs w:val="21"/>
        </w:rPr>
        <w:t>号同时废止。</w:t>
      </w:r>
    </w:p>
    <w:p w:rsidR="00000000" w:rsidRDefault="00A94290">
      <w:pPr>
        <w:shd w:val="clear" w:color="auto" w:fill="FFFFFF"/>
        <w:divId w:val="1158568699"/>
        <w:rPr>
          <w:rFonts w:ascii="微软雅黑" w:eastAsia="微软雅黑" w:hAnsi="微软雅黑" w:hint="eastAsia"/>
          <w:color w:val="535353"/>
          <w:sz w:val="17"/>
          <w:szCs w:val="17"/>
        </w:rPr>
      </w:pPr>
      <w:r>
        <w:rPr>
          <w:rFonts w:ascii="微软雅黑" w:eastAsia="微软雅黑" w:hAnsi="微软雅黑" w:hint="eastAsia"/>
          <w:color w:val="535353"/>
          <w:sz w:val="17"/>
          <w:szCs w:val="17"/>
        </w:rPr>
        <w:t>相关附件：</w:t>
      </w:r>
      <w:r>
        <w:rPr>
          <w:rFonts w:ascii="微软雅黑" w:eastAsia="微软雅黑" w:hAnsi="微软雅黑" w:hint="eastAsia"/>
          <w:color w:val="535353"/>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707EED"/>
    <w:rsid w:val="00707EED"/>
    <w:rsid w:val="00A942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cenh">
    <w:name w:val="cen_h"/>
    <w:basedOn w:val="a"/>
    <w:pPr>
      <w:spacing w:before="240" w:after="240"/>
    </w:pPr>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3">
    <w:name w:val="tp3"/>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A94290"/>
    <w:rPr>
      <w:sz w:val="18"/>
      <w:szCs w:val="18"/>
    </w:rPr>
  </w:style>
  <w:style w:type="character" w:customStyle="1" w:styleId="Char">
    <w:name w:val="批注框文本 Char"/>
    <w:basedOn w:val="a0"/>
    <w:link w:val="a7"/>
    <w:uiPriority w:val="99"/>
    <w:semiHidden/>
    <w:rsid w:val="00A9429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866602105">
      <w:marLeft w:val="0"/>
      <w:marRight w:val="0"/>
      <w:marTop w:val="100"/>
      <w:marBottom w:val="100"/>
      <w:divBdr>
        <w:top w:val="none" w:sz="0" w:space="0" w:color="auto"/>
        <w:left w:val="none" w:sz="0" w:space="0" w:color="auto"/>
        <w:bottom w:val="none" w:sz="0" w:space="0" w:color="auto"/>
        <w:right w:val="none" w:sz="0" w:space="0" w:color="auto"/>
      </w:divBdr>
      <w:divsChild>
        <w:div w:id="1494957053">
          <w:marLeft w:val="0"/>
          <w:marRight w:val="0"/>
          <w:marTop w:val="240"/>
          <w:marBottom w:val="240"/>
          <w:divBdr>
            <w:top w:val="none" w:sz="0" w:space="0" w:color="auto"/>
            <w:left w:val="none" w:sz="0" w:space="0" w:color="auto"/>
            <w:bottom w:val="none" w:sz="0" w:space="0" w:color="auto"/>
            <w:right w:val="none" w:sz="0" w:space="0" w:color="auto"/>
          </w:divBdr>
          <w:divsChild>
            <w:div w:id="394398666">
              <w:marLeft w:val="0"/>
              <w:marRight w:val="0"/>
              <w:marTop w:val="0"/>
              <w:marBottom w:val="0"/>
              <w:divBdr>
                <w:top w:val="none" w:sz="0" w:space="0" w:color="auto"/>
                <w:left w:val="none" w:sz="0" w:space="0" w:color="auto"/>
                <w:bottom w:val="none" w:sz="0" w:space="0" w:color="auto"/>
                <w:right w:val="none" w:sz="0" w:space="0" w:color="auto"/>
              </w:divBdr>
            </w:div>
            <w:div w:id="1575428291">
              <w:marLeft w:val="0"/>
              <w:marRight w:val="0"/>
              <w:marTop w:val="0"/>
              <w:marBottom w:val="240"/>
              <w:divBdr>
                <w:top w:val="none" w:sz="0" w:space="0" w:color="auto"/>
                <w:left w:val="none" w:sz="0" w:space="0" w:color="auto"/>
                <w:bottom w:val="none" w:sz="0" w:space="0" w:color="auto"/>
                <w:right w:val="none" w:sz="0" w:space="0" w:color="auto"/>
              </w:divBdr>
              <w:divsChild>
                <w:div w:id="1368603597">
                  <w:marLeft w:val="0"/>
                  <w:marRight w:val="0"/>
                  <w:marTop w:val="0"/>
                  <w:marBottom w:val="0"/>
                  <w:divBdr>
                    <w:top w:val="none" w:sz="0" w:space="0" w:color="auto"/>
                    <w:left w:val="none" w:sz="0" w:space="0" w:color="auto"/>
                    <w:bottom w:val="none" w:sz="0" w:space="0" w:color="auto"/>
                    <w:right w:val="none" w:sz="0" w:space="0" w:color="auto"/>
                  </w:divBdr>
                </w:div>
                <w:div w:id="2069642437">
                  <w:marLeft w:val="0"/>
                  <w:marRight w:val="0"/>
                  <w:marTop w:val="0"/>
                  <w:marBottom w:val="0"/>
                  <w:divBdr>
                    <w:top w:val="none" w:sz="0" w:space="0" w:color="auto"/>
                    <w:left w:val="none" w:sz="0" w:space="0" w:color="auto"/>
                    <w:bottom w:val="none" w:sz="0" w:space="0" w:color="auto"/>
                    <w:right w:val="none" w:sz="0" w:space="0" w:color="auto"/>
                  </w:divBdr>
                  <w:divsChild>
                    <w:div w:id="1324579616">
                      <w:marLeft w:val="0"/>
                      <w:marRight w:val="0"/>
                      <w:marTop w:val="100"/>
                      <w:marBottom w:val="100"/>
                      <w:divBdr>
                        <w:top w:val="single" w:sz="4" w:space="3" w:color="CCCCCC"/>
                        <w:left w:val="single" w:sz="4" w:space="0" w:color="CCCCCC"/>
                        <w:bottom w:val="single" w:sz="4" w:space="3" w:color="CCCCCC"/>
                        <w:right w:val="single" w:sz="4" w:space="0" w:color="CCCCCC"/>
                      </w:divBdr>
                    </w:div>
                    <w:div w:id="631447877">
                      <w:marLeft w:val="0"/>
                      <w:marRight w:val="0"/>
                      <w:marTop w:val="240"/>
                      <w:marBottom w:val="240"/>
                      <w:divBdr>
                        <w:top w:val="none" w:sz="0" w:space="0" w:color="auto"/>
                        <w:left w:val="none" w:sz="0" w:space="0" w:color="auto"/>
                        <w:bottom w:val="none" w:sz="0" w:space="0" w:color="auto"/>
                        <w:right w:val="none" w:sz="0" w:space="0" w:color="auto"/>
                      </w:divBdr>
                    </w:div>
                    <w:div w:id="1716930887">
                      <w:marLeft w:val="0"/>
                      <w:marRight w:val="0"/>
                      <w:marTop w:val="0"/>
                      <w:marBottom w:val="0"/>
                      <w:divBdr>
                        <w:top w:val="none" w:sz="0" w:space="0" w:color="auto"/>
                        <w:left w:val="none" w:sz="0" w:space="0" w:color="auto"/>
                        <w:bottom w:val="none" w:sz="0" w:space="0" w:color="auto"/>
                        <w:right w:val="none" w:sz="0" w:space="0" w:color="auto"/>
                      </w:divBdr>
                    </w:div>
                    <w:div w:id="11585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hzzk.gov.cn/default/xhtml/zk/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4613</Words>
  <Characters>405</Characters>
  <Application>Microsoft Office Word</Application>
  <DocSecurity>4</DocSecurity>
  <Lines>3</Lines>
  <Paragraphs>10</Paragraphs>
  <ScaleCrop>false</ScaleCrop>
  <Company>CHINA</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仲恺高新区管委会关于印发《仲恺高新区推进专利工作实施办法》的通知_规范性文件_仲恺高新区管委会办公室__政府信息公开</dc:title>
  <dc:subject/>
  <dc:creator>linfan</dc:creator>
  <cp:keywords/>
  <dc:description/>
  <cp:lastModifiedBy>linfan</cp:lastModifiedBy>
  <cp:revision>2</cp:revision>
  <dcterms:created xsi:type="dcterms:W3CDTF">2018-05-17T09:29:00Z</dcterms:created>
  <dcterms:modified xsi:type="dcterms:W3CDTF">2018-05-17T09:29:00Z</dcterms:modified>
</cp:coreProperties>
</file>